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tabs>
          <w:tab w:val="center" w:pos="4536"/>
          <w:tab w:val="right" w:pos="8280"/>
          <w:tab w:val="right" w:pos="9781"/>
        </w:tabs>
        <w:kinsoku/>
        <w:wordWrap/>
        <w:topLinePunct w:val="0"/>
        <w:bidi w:val="0"/>
        <w:snapToGrid w:val="0"/>
        <w:spacing w:after="0" w:line="264" w:lineRule="auto"/>
        <w:jc w:val="left"/>
        <w:rPr>
          <w:rFonts w:hint="eastAsia" w:ascii="Arial" w:hAnsi="Arial" w:cs="Arial"/>
          <w:b/>
          <w:bCs/>
          <w:sz w:val="24"/>
          <w:szCs w:val="24"/>
          <w:lang w:val="en-US" w:eastAsia="ja-JP"/>
        </w:rPr>
      </w:pPr>
      <w:bookmarkStart w:id="0" w:name="OLE_LINK25"/>
      <w:r>
        <w:rPr>
          <w:rFonts w:hint="eastAsia" w:ascii="Arial" w:hAnsi="Arial" w:cs="Arial"/>
          <w:b/>
          <w:bCs/>
          <w:sz w:val="24"/>
          <w:szCs w:val="24"/>
          <w:lang w:val="en-US" w:eastAsia="ja-JP"/>
        </w:rPr>
        <w:t>3GPP TSG RAN WG1 #9</w:t>
      </w:r>
      <w:r>
        <w:rPr>
          <w:rFonts w:hint="eastAsia" w:ascii="Arial" w:hAnsi="Arial" w:cs="Arial"/>
          <w:b/>
          <w:bCs/>
          <w:sz w:val="24"/>
          <w:szCs w:val="24"/>
          <w:lang w:val="en-US" w:eastAsia="zh-CN"/>
        </w:rPr>
        <w:t xml:space="preserve">7  </w:t>
      </w:r>
      <w:r>
        <w:rPr>
          <w:rFonts w:hint="eastAsia" w:ascii="Arial" w:hAnsi="Arial" w:cs="Arial"/>
          <w:b/>
          <w:bCs/>
          <w:sz w:val="24"/>
          <w:szCs w:val="24"/>
          <w:lang w:val="en-US" w:eastAsia="ja-JP"/>
        </w:rPr>
        <w:t xml:space="preserve">                                              </w:t>
      </w:r>
      <w:r>
        <w:rPr>
          <w:rFonts w:hint="eastAsia" w:ascii="Arial" w:hAnsi="Arial" w:eastAsia="宋体" w:cs="Arial"/>
          <w:b/>
          <w:bCs/>
          <w:sz w:val="24"/>
          <w:szCs w:val="24"/>
          <w:lang w:val="en-US" w:eastAsia="zh-CN"/>
        </w:rPr>
        <w:t xml:space="preserve">                          </w:t>
      </w:r>
      <w:r>
        <w:rPr>
          <w:rFonts w:hint="eastAsia" w:ascii="Arial" w:hAnsi="Arial" w:cs="Arial"/>
          <w:b/>
          <w:bCs/>
          <w:sz w:val="24"/>
          <w:szCs w:val="24"/>
          <w:lang w:val="en-US" w:eastAsia="zh-CN"/>
        </w:rPr>
        <w:t xml:space="preserve"> </w:t>
      </w:r>
      <w:r>
        <w:rPr>
          <w:rFonts w:hint="eastAsia" w:ascii="Arial" w:hAnsi="Arial" w:cs="Arial"/>
          <w:b/>
          <w:bCs/>
          <w:sz w:val="24"/>
          <w:szCs w:val="24"/>
          <w:lang w:val="en-US" w:eastAsia="ja-JP"/>
        </w:rPr>
        <w:t>R1-19</w:t>
      </w:r>
      <w:r>
        <w:rPr>
          <w:rFonts w:hint="eastAsia" w:ascii="Arial" w:hAnsi="Arial" w:cs="Arial"/>
          <w:b/>
          <w:bCs/>
          <w:sz w:val="24"/>
          <w:szCs w:val="24"/>
          <w:lang w:val="en-US" w:eastAsia="zh-CN"/>
        </w:rPr>
        <w:t>06427</w:t>
      </w:r>
      <w:r>
        <w:rPr>
          <w:rFonts w:hint="eastAsia" w:ascii="Arial" w:hAnsi="Arial" w:cs="Arial"/>
          <w:b/>
          <w:bCs/>
          <w:sz w:val="24"/>
          <w:szCs w:val="24"/>
          <w:lang w:val="en-US" w:eastAsia="ja-JP"/>
        </w:rPr>
        <w:t xml:space="preserve">                                                                          </w:t>
      </w:r>
    </w:p>
    <w:p>
      <w:pPr>
        <w:pageBreakBefore w:val="0"/>
        <w:tabs>
          <w:tab w:val="center" w:pos="4536"/>
          <w:tab w:val="right" w:pos="8280"/>
          <w:tab w:val="right" w:pos="9781"/>
        </w:tabs>
        <w:kinsoku/>
        <w:wordWrap/>
        <w:topLinePunct w:val="0"/>
        <w:bidi w:val="0"/>
        <w:snapToGrid w:val="0"/>
        <w:spacing w:after="0" w:line="264" w:lineRule="auto"/>
        <w:jc w:val="left"/>
        <w:rPr>
          <w:rFonts w:hint="eastAsia" w:ascii="Arial" w:hAnsi="Arial" w:cs="Arial"/>
          <w:b/>
          <w:bCs/>
          <w:sz w:val="24"/>
          <w:szCs w:val="24"/>
          <w:lang w:val="en-US" w:eastAsia="ja-JP"/>
        </w:rPr>
      </w:pPr>
      <w:r>
        <w:rPr>
          <w:rFonts w:hint="eastAsia" w:ascii="Arial" w:hAnsi="Arial" w:cs="Arial"/>
          <w:b/>
          <w:bCs/>
          <w:sz w:val="24"/>
          <w:szCs w:val="24"/>
          <w:lang w:val="en-US" w:eastAsia="ja-JP"/>
        </w:rPr>
        <w:t>Reno, USA, May 13th</w:t>
      </w:r>
      <w:r>
        <w:rPr>
          <w:rFonts w:hint="eastAsia" w:ascii="Arial" w:hAnsi="Arial" w:cs="Arial"/>
          <w:b/>
          <w:bCs/>
          <w:sz w:val="24"/>
          <w:szCs w:val="24"/>
          <w:lang w:val="en-US" w:eastAsia="zh-CN"/>
        </w:rPr>
        <w:t xml:space="preserve"> - </w:t>
      </w:r>
      <w:r>
        <w:rPr>
          <w:rFonts w:hint="eastAsia" w:ascii="Arial" w:hAnsi="Arial" w:cs="Arial"/>
          <w:b/>
          <w:bCs/>
          <w:sz w:val="24"/>
          <w:szCs w:val="24"/>
          <w:lang w:val="en-US" w:eastAsia="ja-JP"/>
        </w:rPr>
        <w:t>17th, 2019</w:t>
      </w:r>
    </w:p>
    <w:bookmarkEnd w:id="0"/>
    <w:p>
      <w:pPr>
        <w:pageBreakBefore w:val="0"/>
        <w:tabs>
          <w:tab w:val="center" w:pos="4536"/>
          <w:tab w:val="right" w:pos="8280"/>
          <w:tab w:val="right" w:pos="9781"/>
        </w:tabs>
        <w:kinsoku/>
        <w:wordWrap/>
        <w:topLinePunct w:val="0"/>
        <w:bidi w:val="0"/>
        <w:snapToGrid w:val="0"/>
        <w:spacing w:after="0" w:line="264" w:lineRule="auto"/>
        <w:jc w:val="left"/>
        <w:rPr>
          <w:b/>
          <w:bCs/>
          <w:sz w:val="24"/>
          <w:szCs w:val="24"/>
          <w:lang w:val="en-US" w:eastAsia="ja-JP"/>
        </w:rPr>
      </w:pPr>
    </w:p>
    <w:p>
      <w:pPr>
        <w:pageBreakBefore w:val="0"/>
        <w:tabs>
          <w:tab w:val="center" w:pos="4536"/>
          <w:tab w:val="right" w:pos="8280"/>
          <w:tab w:val="right" w:pos="9781"/>
        </w:tabs>
        <w:kinsoku/>
        <w:wordWrap/>
        <w:topLinePunct w:val="0"/>
        <w:bidi w:val="0"/>
        <w:snapToGrid w:val="0"/>
        <w:spacing w:after="0" w:line="264" w:lineRule="auto"/>
        <w:jc w:val="left"/>
        <w:rPr>
          <w:rFonts w:hint="default" w:ascii="Arial" w:hAnsi="Arial" w:eastAsia="宋体"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r>
        <w:rPr>
          <w:rFonts w:hint="eastAsia" w:ascii="Arial" w:hAnsi="Arial" w:eastAsia="宋体" w:cs="Arial"/>
          <w:b/>
          <w:bCs/>
          <w:sz w:val="24"/>
          <w:szCs w:val="24"/>
          <w:lang w:val="en-US" w:eastAsia="zh-CN"/>
        </w:rPr>
        <w:t>, Sanechips</w:t>
      </w:r>
    </w:p>
    <w:p>
      <w:pPr>
        <w:pageBreakBefore w:val="0"/>
        <w:tabs>
          <w:tab w:val="center" w:pos="4536"/>
          <w:tab w:val="right" w:pos="8280"/>
          <w:tab w:val="right" w:pos="9781"/>
        </w:tabs>
        <w:kinsoku/>
        <w:wordWrap/>
        <w:topLinePunct w:val="0"/>
        <w:bidi w:val="0"/>
        <w:snapToGrid w:val="0"/>
        <w:spacing w:after="0" w:line="264" w:lineRule="auto"/>
        <w:jc w:val="left"/>
        <w:rPr>
          <w:rFonts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Discussion on p</w:t>
      </w:r>
      <w:r>
        <w:rPr>
          <w:rFonts w:ascii="Arial" w:hAnsi="Arial" w:cs="Arial"/>
          <w:b/>
          <w:bCs/>
          <w:sz w:val="24"/>
          <w:szCs w:val="24"/>
          <w:lang w:val="en-US" w:eastAsia="zh-CN"/>
        </w:rPr>
        <w:t xml:space="preserve">hysical-layer procedure for NR </w:t>
      </w:r>
      <w:r>
        <w:rPr>
          <w:rFonts w:hint="eastAsia" w:ascii="Arial" w:hAnsi="Arial" w:cs="Arial"/>
          <w:b/>
          <w:bCs/>
          <w:sz w:val="24"/>
          <w:szCs w:val="24"/>
          <w:lang w:val="en-US" w:eastAsia="zh-CN"/>
        </w:rPr>
        <w:t>positioning</w:t>
      </w:r>
    </w:p>
    <w:p>
      <w:pPr>
        <w:pageBreakBefore w:val="0"/>
        <w:tabs>
          <w:tab w:val="center" w:pos="4536"/>
          <w:tab w:val="right" w:pos="8280"/>
          <w:tab w:val="right" w:pos="9781"/>
        </w:tabs>
        <w:kinsoku/>
        <w:wordWrap/>
        <w:topLinePunct w:val="0"/>
        <w:bidi w:val="0"/>
        <w:snapToGrid w:val="0"/>
        <w:spacing w:after="0" w:line="264" w:lineRule="auto"/>
        <w:jc w:val="left"/>
        <w:rPr>
          <w:rFonts w:ascii="Arial" w:hAnsi="Arial" w:cs="Arial"/>
          <w:b/>
          <w:bCs/>
          <w:sz w:val="24"/>
          <w:szCs w:val="24"/>
          <w:lang w:val="en-US" w:eastAsia="zh-CN"/>
        </w:rPr>
      </w:pP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ascii="Arial" w:hAnsi="Arial" w:cs="Arial"/>
          <w:b/>
          <w:bCs/>
          <w:sz w:val="24"/>
          <w:szCs w:val="24"/>
          <w:lang w:val="en-US" w:eastAsia="zh-CN"/>
        </w:rPr>
        <w:t>7</w:t>
      </w:r>
      <w:r>
        <w:rPr>
          <w:rFonts w:ascii="Arial" w:hAnsi="Arial" w:cs="Arial"/>
          <w:b/>
          <w:bCs/>
          <w:sz w:val="24"/>
          <w:szCs w:val="24"/>
          <w:lang w:eastAsia="zh-CN"/>
        </w:rPr>
        <w:t>.</w:t>
      </w:r>
      <w:r>
        <w:rPr>
          <w:rFonts w:ascii="Arial" w:hAnsi="Arial" w:cs="Arial"/>
          <w:b/>
          <w:bCs/>
          <w:sz w:val="24"/>
          <w:szCs w:val="24"/>
          <w:lang w:val="en-US" w:eastAsia="zh-CN"/>
        </w:rPr>
        <w:t>2.10.</w:t>
      </w:r>
      <w:r>
        <w:rPr>
          <w:rFonts w:hint="eastAsia" w:ascii="Arial" w:hAnsi="Arial" w:cs="Arial"/>
          <w:b/>
          <w:bCs/>
          <w:sz w:val="24"/>
          <w:szCs w:val="24"/>
          <w:lang w:val="en-US" w:eastAsia="zh-CN"/>
        </w:rPr>
        <w:t>4</w:t>
      </w:r>
    </w:p>
    <w:p>
      <w:pPr>
        <w:pageBreakBefore w:val="0"/>
        <w:tabs>
          <w:tab w:val="center" w:pos="4536"/>
          <w:tab w:val="right" w:pos="8280"/>
          <w:tab w:val="right" w:pos="9781"/>
        </w:tabs>
        <w:kinsoku/>
        <w:wordWrap/>
        <w:topLinePunct w:val="0"/>
        <w:bidi w:val="0"/>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pageBreakBefore w:val="0"/>
        <w:tabs>
          <w:tab w:val="left" w:pos="360"/>
          <w:tab w:val="clear" w:pos="612"/>
        </w:tabs>
        <w:kinsoku/>
        <w:wordWrap/>
        <w:topLinePunct w:val="0"/>
        <w:bidi w:val="0"/>
        <w:snapToGrid w:val="0"/>
        <w:ind w:hanging="612"/>
      </w:pPr>
      <w:r>
        <w:t>Introduction</w:t>
      </w:r>
    </w:p>
    <w:p>
      <w:pPr>
        <w:pStyle w:val="118"/>
        <w:pageBreakBefore w:val="0"/>
        <w:kinsoku/>
        <w:wordWrap/>
        <w:topLinePunct w:val="0"/>
        <w:bidi w:val="0"/>
        <w:snapToGrid w:val="0"/>
        <w:spacing w:before="180" w:beforeLines="50" w:after="180" w:afterLines="50" w:line="240" w:lineRule="auto"/>
        <w:ind w:left="0" w:leftChars="0"/>
        <w:rPr>
          <w:rFonts w:hint="eastAsia" w:ascii="Times New Roman" w:hAnsi="Times New Roman"/>
          <w:sz w:val="20"/>
          <w:szCs w:val="20"/>
          <w:lang w:val="en-US" w:eastAsia="zh-CN"/>
        </w:rPr>
      </w:pPr>
      <w:r>
        <w:rPr>
          <w:rFonts w:hint="eastAsia" w:ascii="Times New Roman" w:hAnsi="Times New Roman"/>
          <w:sz w:val="20"/>
          <w:szCs w:val="20"/>
        </w:rPr>
        <w:t>In RAN1#96</w:t>
      </w:r>
      <w:r>
        <w:rPr>
          <w:rFonts w:hint="eastAsia" w:ascii="Times New Roman" w:hAnsi="Times New Roman"/>
          <w:sz w:val="20"/>
          <w:szCs w:val="20"/>
          <w:lang w:val="en-US" w:eastAsia="zh-CN"/>
        </w:rPr>
        <w:t>bis</w:t>
      </w:r>
      <w:r>
        <w:rPr>
          <w:rFonts w:hint="eastAsia" w:ascii="Times New Roman" w:hAnsi="Times New Roman"/>
          <w:sz w:val="20"/>
          <w:szCs w:val="20"/>
        </w:rPr>
        <w:t xml:space="preserve"> meeting, </w:t>
      </w:r>
      <w:r>
        <w:rPr>
          <w:rFonts w:hint="eastAsia"/>
          <w:sz w:val="20"/>
          <w:szCs w:val="20"/>
          <w:lang w:val="en-US" w:eastAsia="zh-CN"/>
        </w:rPr>
        <w:t>the potential physical layer procedures were discussed as listed in the following agreement</w:t>
      </w:r>
      <w:r>
        <w:rPr>
          <w:rFonts w:hint="eastAsia" w:ascii="Times New Roman" w:hAnsi="Times New Roman"/>
          <w:sz w:val="20"/>
          <w:szCs w:val="20"/>
          <w:lang w:val="en-US" w:eastAsia="zh-CN"/>
        </w:rPr>
        <w:t xml:space="preserve"> [1].</w:t>
      </w:r>
    </w:p>
    <w:p>
      <w:pPr>
        <w:keepNext w:val="0"/>
        <w:pageBreakBefore w:val="0"/>
        <w:widowControl/>
        <w:kinsoku/>
        <w:wordWrap/>
        <w:topLinePunct w:val="0"/>
        <w:bidi w:val="0"/>
        <w:snapToGrid w:val="0"/>
        <w:spacing w:line="240" w:lineRule="auto"/>
        <w:outlineLvl w:val="9"/>
        <w:rPr>
          <w:rFonts w:hint="default" w:ascii="Times New Roman" w:hAnsi="Times New Roman" w:cs="Times New Roman"/>
          <w:i/>
          <w:iCs/>
          <w:color w:val="auto"/>
          <w:sz w:val="20"/>
          <w:szCs w:val="20"/>
          <w:highlight w:val="none"/>
          <w:u w:val="single"/>
        </w:rPr>
      </w:pPr>
      <w:r>
        <w:rPr>
          <w:rFonts w:hint="default" w:ascii="Times New Roman" w:hAnsi="Times New Roman" w:cs="Times New Roman"/>
          <w:i/>
          <w:iCs/>
          <w:color w:val="auto"/>
          <w:sz w:val="20"/>
          <w:szCs w:val="20"/>
          <w:highlight w:val="none"/>
          <w:u w:val="single"/>
        </w:rPr>
        <w:t>Agreement:</w:t>
      </w:r>
    </w:p>
    <w:p>
      <w:pPr>
        <w:keepNext w:val="0"/>
        <w:pageBreakBefore w:val="0"/>
        <w:widowControl/>
        <w:kinsoku/>
        <w:wordWrap/>
        <w:topLinePunct w:val="0"/>
        <w:bidi w:val="0"/>
        <w:snapToGrid w:val="0"/>
        <w:spacing w:line="240" w:lineRule="auto"/>
        <w:outlineLvl w:val="9"/>
        <w:rPr>
          <w:rFonts w:hint="default" w:ascii="Times New Roman" w:hAnsi="Times New Roman" w:cs="Times New Roman"/>
          <w:i/>
          <w:iCs/>
          <w:color w:val="auto"/>
          <w:sz w:val="20"/>
          <w:szCs w:val="20"/>
          <w:highlight w:val="none"/>
        </w:rPr>
      </w:pPr>
      <w:r>
        <w:rPr>
          <w:rFonts w:hint="default" w:ascii="Times New Roman" w:hAnsi="Times New Roman" w:cs="Times New Roman"/>
          <w:i/>
          <w:iCs/>
          <w:color w:val="auto"/>
          <w:sz w:val="20"/>
          <w:szCs w:val="20"/>
          <w:highlight w:val="none"/>
        </w:rPr>
        <w:t>The potential physical layer procedures to support UE/gNB measurements for NR positioning may include:</w:t>
      </w:r>
    </w:p>
    <w:p>
      <w:pPr>
        <w:pStyle w:val="43"/>
        <w:keepNext w:val="0"/>
        <w:pageBreakBefore w:val="0"/>
        <w:widowControl/>
        <w:kinsoku/>
        <w:wordWrap/>
        <w:topLinePunct w:val="0"/>
        <w:bidi w:val="0"/>
        <w:snapToGrid w:val="0"/>
        <w:spacing w:after="60" w:line="240" w:lineRule="auto"/>
        <w:ind w:hanging="288"/>
        <w:outlineLvl w:val="9"/>
        <w:rPr>
          <w:rFonts w:hint="default" w:ascii="Times New Roman" w:hAnsi="Times New Roman" w:cs="Times New Roman"/>
          <w:b/>
          <w:i/>
          <w:iCs/>
          <w:color w:val="auto"/>
          <w:sz w:val="20"/>
          <w:szCs w:val="20"/>
          <w:highlight w:val="none"/>
          <w:lang w:val="en-US" w:eastAsia="en-GB"/>
        </w:rPr>
      </w:pPr>
      <w:r>
        <w:rPr>
          <w:rFonts w:hint="default" w:ascii="Times New Roman" w:hAnsi="Times New Roman" w:cs="Times New Roman"/>
          <w:b/>
          <w:i/>
          <w:iCs/>
          <w:color w:val="auto"/>
          <w:sz w:val="20"/>
          <w:szCs w:val="20"/>
          <w:highlight w:val="none"/>
          <w:lang w:val="en-US" w:eastAsia="en-GB"/>
        </w:rPr>
        <w:t>1.</w:t>
      </w:r>
      <w:r>
        <w:rPr>
          <w:rFonts w:hint="default" w:ascii="Times New Roman" w:hAnsi="Times New Roman" w:cs="Times New Roman"/>
          <w:b/>
          <w:i/>
          <w:iCs/>
          <w:color w:val="auto"/>
          <w:sz w:val="20"/>
          <w:szCs w:val="20"/>
          <w:highlight w:val="none"/>
          <w:lang w:val="en-US" w:eastAsia="en-GB"/>
        </w:rPr>
        <w:tab/>
      </w:r>
      <w:r>
        <w:rPr>
          <w:rFonts w:hint="default" w:ascii="Times New Roman" w:hAnsi="Times New Roman" w:cs="Times New Roman"/>
          <w:i/>
          <w:iCs/>
          <w:color w:val="auto"/>
          <w:sz w:val="20"/>
          <w:szCs w:val="20"/>
          <w:highlight w:val="none"/>
          <w:lang w:val="en-US" w:eastAsia="en-GB"/>
        </w:rPr>
        <w:t>UE procedures for receiving DL PRS, including</w:t>
      </w:r>
    </w:p>
    <w:p>
      <w:pPr>
        <w:pStyle w:val="50"/>
        <w:keepNext w:val="0"/>
        <w:pageBreakBefore w:val="0"/>
        <w:widowControl/>
        <w:kinsoku/>
        <w:wordWrap/>
        <w:topLinePunct w:val="0"/>
        <w:bidi w:val="0"/>
        <w:snapToGrid w:val="0"/>
        <w:spacing w:after="60" w:line="240" w:lineRule="auto"/>
        <w:ind w:hanging="288"/>
        <w:outlineLvl w:val="9"/>
        <w:rPr>
          <w:rFonts w:hint="default" w:ascii="Times New Roman" w:hAnsi="Times New Roman" w:cs="Times New Roman"/>
          <w:i/>
          <w:iCs/>
          <w:color w:val="auto"/>
          <w:sz w:val="20"/>
          <w:szCs w:val="20"/>
          <w:highlight w:val="none"/>
          <w:lang w:val="en-US" w:eastAsia="en-GB"/>
        </w:rPr>
      </w:pPr>
      <w:r>
        <w:rPr>
          <w:rFonts w:hint="default" w:ascii="Times New Roman" w:hAnsi="Times New Roman" w:cs="Times New Roman"/>
          <w:i/>
          <w:iCs/>
          <w:color w:val="auto"/>
          <w:sz w:val="20"/>
          <w:szCs w:val="20"/>
          <w:highlight w:val="none"/>
          <w:lang w:val="en-US" w:eastAsia="en-GB"/>
        </w:rPr>
        <w:t>a.</w:t>
      </w:r>
      <w:r>
        <w:rPr>
          <w:rFonts w:hint="default" w:ascii="Times New Roman" w:hAnsi="Times New Roman" w:cs="Times New Roman"/>
          <w:i/>
          <w:iCs/>
          <w:color w:val="auto"/>
          <w:sz w:val="20"/>
          <w:szCs w:val="20"/>
          <w:highlight w:val="none"/>
          <w:lang w:val="en-US" w:eastAsia="en-GB"/>
        </w:rPr>
        <w:tab/>
      </w:r>
      <w:r>
        <w:rPr>
          <w:rFonts w:hint="default" w:ascii="Times New Roman" w:hAnsi="Times New Roman" w:cs="Times New Roman"/>
          <w:i/>
          <w:iCs/>
          <w:color w:val="auto"/>
          <w:sz w:val="20"/>
          <w:szCs w:val="20"/>
          <w:highlight w:val="none"/>
          <w:lang w:val="en-US" w:eastAsia="en-GB"/>
        </w:rPr>
        <w:t>DL PRS timing aspects</w:t>
      </w:r>
    </w:p>
    <w:p>
      <w:pPr>
        <w:pStyle w:val="50"/>
        <w:keepNext w:val="0"/>
        <w:pageBreakBefore w:val="0"/>
        <w:widowControl/>
        <w:kinsoku/>
        <w:wordWrap/>
        <w:topLinePunct w:val="0"/>
        <w:bidi w:val="0"/>
        <w:snapToGrid w:val="0"/>
        <w:spacing w:after="60" w:line="240" w:lineRule="auto"/>
        <w:ind w:hanging="288"/>
        <w:outlineLvl w:val="9"/>
        <w:rPr>
          <w:rFonts w:hint="default" w:ascii="Times New Roman" w:hAnsi="Times New Roman" w:cs="Times New Roman"/>
          <w:i/>
          <w:iCs/>
          <w:color w:val="auto"/>
          <w:sz w:val="20"/>
          <w:szCs w:val="20"/>
          <w:highlight w:val="none"/>
          <w:lang w:val="en-US" w:eastAsia="en-GB"/>
        </w:rPr>
      </w:pPr>
      <w:r>
        <w:rPr>
          <w:rFonts w:hint="default" w:ascii="Times New Roman" w:hAnsi="Times New Roman" w:cs="Times New Roman"/>
          <w:i/>
          <w:iCs/>
          <w:color w:val="auto"/>
          <w:sz w:val="20"/>
          <w:szCs w:val="20"/>
          <w:highlight w:val="none"/>
          <w:lang w:val="en-US" w:eastAsia="en-GB"/>
        </w:rPr>
        <w:t>b.</w:t>
      </w:r>
      <w:r>
        <w:rPr>
          <w:rFonts w:hint="default" w:ascii="Times New Roman" w:hAnsi="Times New Roman" w:cs="Times New Roman"/>
          <w:i/>
          <w:iCs/>
          <w:color w:val="auto"/>
          <w:sz w:val="20"/>
          <w:szCs w:val="20"/>
          <w:highlight w:val="none"/>
          <w:lang w:val="en-US" w:eastAsia="en-GB"/>
        </w:rPr>
        <w:tab/>
      </w:r>
      <w:r>
        <w:rPr>
          <w:rFonts w:hint="default" w:ascii="Times New Roman" w:hAnsi="Times New Roman" w:cs="Times New Roman"/>
          <w:i/>
          <w:iCs/>
          <w:color w:val="auto"/>
          <w:sz w:val="20"/>
          <w:szCs w:val="20"/>
          <w:highlight w:val="none"/>
          <w:lang w:val="en-US" w:eastAsia="en-GB"/>
        </w:rPr>
        <w:t>Bandwidth part operation</w:t>
      </w:r>
    </w:p>
    <w:p>
      <w:pPr>
        <w:pStyle w:val="50"/>
        <w:keepNext w:val="0"/>
        <w:pageBreakBefore w:val="0"/>
        <w:widowControl/>
        <w:kinsoku/>
        <w:wordWrap/>
        <w:topLinePunct w:val="0"/>
        <w:bidi w:val="0"/>
        <w:snapToGrid w:val="0"/>
        <w:spacing w:after="60" w:line="240" w:lineRule="auto"/>
        <w:ind w:hanging="288"/>
        <w:outlineLvl w:val="9"/>
        <w:rPr>
          <w:rFonts w:hint="default" w:ascii="Times New Roman" w:hAnsi="Times New Roman" w:cs="Times New Roman"/>
          <w:i/>
          <w:iCs/>
          <w:color w:val="auto"/>
          <w:sz w:val="20"/>
          <w:szCs w:val="20"/>
          <w:highlight w:val="none"/>
          <w:lang w:val="en-US" w:eastAsia="en-GB"/>
        </w:rPr>
      </w:pPr>
      <w:r>
        <w:rPr>
          <w:rFonts w:hint="default" w:ascii="Times New Roman" w:hAnsi="Times New Roman" w:cs="Times New Roman"/>
          <w:i/>
          <w:iCs/>
          <w:color w:val="auto"/>
          <w:sz w:val="20"/>
          <w:szCs w:val="20"/>
          <w:highlight w:val="none"/>
          <w:lang w:val="en-US" w:eastAsia="en-GB"/>
        </w:rPr>
        <w:t>c.</w:t>
      </w:r>
      <w:r>
        <w:rPr>
          <w:rFonts w:hint="default" w:ascii="Times New Roman" w:hAnsi="Times New Roman" w:cs="Times New Roman"/>
          <w:i/>
          <w:iCs/>
          <w:color w:val="auto"/>
          <w:sz w:val="20"/>
          <w:szCs w:val="20"/>
          <w:highlight w:val="none"/>
          <w:lang w:val="en-US" w:eastAsia="en-GB"/>
        </w:rPr>
        <w:tab/>
      </w:r>
      <w:r>
        <w:rPr>
          <w:rFonts w:hint="default" w:ascii="Times New Roman" w:hAnsi="Times New Roman" w:cs="Times New Roman"/>
          <w:i/>
          <w:iCs/>
          <w:color w:val="auto"/>
          <w:sz w:val="20"/>
          <w:szCs w:val="20"/>
          <w:highlight w:val="none"/>
          <w:lang w:val="en-US" w:eastAsia="en-GB"/>
        </w:rPr>
        <w:t>Beam management aspects</w:t>
      </w:r>
    </w:p>
    <w:p>
      <w:pPr>
        <w:pStyle w:val="50"/>
        <w:keepNext w:val="0"/>
        <w:pageBreakBefore w:val="0"/>
        <w:widowControl/>
        <w:kinsoku/>
        <w:wordWrap/>
        <w:topLinePunct w:val="0"/>
        <w:bidi w:val="0"/>
        <w:snapToGrid w:val="0"/>
        <w:spacing w:after="60" w:line="240" w:lineRule="auto"/>
        <w:ind w:hanging="288"/>
        <w:outlineLvl w:val="9"/>
        <w:rPr>
          <w:rFonts w:hint="default" w:ascii="Times New Roman" w:hAnsi="Times New Roman" w:cs="Times New Roman"/>
          <w:i/>
          <w:iCs/>
          <w:color w:val="auto"/>
          <w:sz w:val="20"/>
          <w:szCs w:val="20"/>
          <w:highlight w:val="none"/>
          <w:lang w:val="en-US" w:eastAsia="en-GB"/>
        </w:rPr>
      </w:pPr>
      <w:r>
        <w:rPr>
          <w:rFonts w:hint="default" w:ascii="Times New Roman" w:hAnsi="Times New Roman" w:cs="Times New Roman"/>
          <w:i/>
          <w:iCs/>
          <w:color w:val="auto"/>
          <w:sz w:val="20"/>
          <w:szCs w:val="20"/>
          <w:highlight w:val="none"/>
          <w:lang w:val="en-US" w:eastAsia="en-GB"/>
        </w:rPr>
        <w:t>d.</w:t>
      </w:r>
      <w:r>
        <w:rPr>
          <w:rFonts w:hint="default" w:ascii="Times New Roman" w:hAnsi="Times New Roman" w:cs="Times New Roman"/>
          <w:i/>
          <w:iCs/>
          <w:color w:val="auto"/>
          <w:sz w:val="20"/>
          <w:szCs w:val="20"/>
          <w:highlight w:val="none"/>
          <w:lang w:val="en-US" w:eastAsia="en-GB"/>
        </w:rPr>
        <w:tab/>
      </w:r>
      <w:r>
        <w:rPr>
          <w:rFonts w:hint="default" w:ascii="Times New Roman" w:hAnsi="Times New Roman" w:cs="Times New Roman"/>
          <w:i/>
          <w:iCs/>
          <w:color w:val="auto"/>
          <w:sz w:val="20"/>
          <w:szCs w:val="20"/>
          <w:highlight w:val="none"/>
          <w:lang w:val="en-US" w:eastAsia="en-GB"/>
        </w:rPr>
        <w:t>Measurement/reporting related aspects</w:t>
      </w:r>
    </w:p>
    <w:p>
      <w:pPr>
        <w:pStyle w:val="43"/>
        <w:keepNext w:val="0"/>
        <w:pageBreakBefore w:val="0"/>
        <w:widowControl/>
        <w:kinsoku/>
        <w:wordWrap/>
        <w:topLinePunct w:val="0"/>
        <w:bidi w:val="0"/>
        <w:snapToGrid w:val="0"/>
        <w:spacing w:after="60" w:line="240" w:lineRule="auto"/>
        <w:ind w:hanging="288"/>
        <w:outlineLvl w:val="9"/>
        <w:rPr>
          <w:rFonts w:hint="default" w:ascii="Times New Roman" w:hAnsi="Times New Roman" w:cs="Times New Roman"/>
          <w:i/>
          <w:iCs/>
          <w:color w:val="auto"/>
          <w:sz w:val="20"/>
          <w:szCs w:val="20"/>
          <w:highlight w:val="none"/>
          <w:lang w:val="en-US" w:eastAsia="en-GB"/>
        </w:rPr>
      </w:pPr>
      <w:r>
        <w:rPr>
          <w:rFonts w:hint="default" w:ascii="Times New Roman" w:hAnsi="Times New Roman" w:cs="Times New Roman"/>
          <w:b/>
          <w:i/>
          <w:iCs/>
          <w:color w:val="auto"/>
          <w:sz w:val="20"/>
          <w:szCs w:val="20"/>
          <w:highlight w:val="none"/>
          <w:lang w:val="en-US" w:eastAsia="en-GB"/>
        </w:rPr>
        <w:t>2.</w:t>
      </w:r>
      <w:r>
        <w:rPr>
          <w:rFonts w:hint="default" w:ascii="Times New Roman" w:hAnsi="Times New Roman" w:cs="Times New Roman"/>
          <w:b/>
          <w:i/>
          <w:iCs/>
          <w:color w:val="auto"/>
          <w:sz w:val="20"/>
          <w:szCs w:val="20"/>
          <w:highlight w:val="none"/>
          <w:lang w:val="en-US" w:eastAsia="en-GB"/>
        </w:rPr>
        <w:tab/>
      </w:r>
      <w:r>
        <w:rPr>
          <w:rFonts w:hint="default" w:ascii="Times New Roman" w:hAnsi="Times New Roman" w:cs="Times New Roman"/>
          <w:i/>
          <w:iCs/>
          <w:color w:val="auto"/>
          <w:sz w:val="20"/>
          <w:szCs w:val="20"/>
          <w:highlight w:val="none"/>
          <w:lang w:val="en-US" w:eastAsia="en-GB"/>
        </w:rPr>
        <w:t>UE procedures for transmitting UL PRS, including</w:t>
      </w:r>
    </w:p>
    <w:p>
      <w:pPr>
        <w:pStyle w:val="50"/>
        <w:keepNext w:val="0"/>
        <w:pageBreakBefore w:val="0"/>
        <w:widowControl/>
        <w:kinsoku/>
        <w:wordWrap/>
        <w:topLinePunct w:val="0"/>
        <w:bidi w:val="0"/>
        <w:snapToGrid w:val="0"/>
        <w:spacing w:after="60" w:line="240" w:lineRule="auto"/>
        <w:ind w:hanging="288"/>
        <w:outlineLvl w:val="9"/>
        <w:rPr>
          <w:rFonts w:hint="default" w:ascii="Times New Roman" w:hAnsi="Times New Roman" w:cs="Times New Roman"/>
          <w:i/>
          <w:iCs/>
          <w:color w:val="auto"/>
          <w:sz w:val="20"/>
          <w:szCs w:val="20"/>
          <w:highlight w:val="none"/>
          <w:lang w:val="en-US" w:eastAsia="en-GB"/>
        </w:rPr>
      </w:pPr>
      <w:r>
        <w:rPr>
          <w:rFonts w:hint="default" w:ascii="Times New Roman" w:hAnsi="Times New Roman" w:cs="Times New Roman"/>
          <w:i/>
          <w:iCs/>
          <w:color w:val="auto"/>
          <w:sz w:val="20"/>
          <w:szCs w:val="20"/>
          <w:highlight w:val="none"/>
          <w:lang w:val="en-US" w:eastAsia="en-GB"/>
        </w:rPr>
        <w:t>a.</w:t>
      </w:r>
      <w:r>
        <w:rPr>
          <w:rFonts w:hint="default" w:ascii="Times New Roman" w:hAnsi="Times New Roman" w:cs="Times New Roman"/>
          <w:i/>
          <w:iCs/>
          <w:color w:val="auto"/>
          <w:sz w:val="20"/>
          <w:szCs w:val="20"/>
          <w:highlight w:val="none"/>
          <w:lang w:val="en-US" w:eastAsia="en-GB"/>
        </w:rPr>
        <w:tab/>
      </w:r>
      <w:r>
        <w:rPr>
          <w:rFonts w:hint="default" w:ascii="Times New Roman" w:hAnsi="Times New Roman" w:cs="Times New Roman"/>
          <w:i/>
          <w:iCs/>
          <w:color w:val="auto"/>
          <w:sz w:val="20"/>
          <w:szCs w:val="20"/>
          <w:highlight w:val="none"/>
          <w:lang w:val="en-US" w:eastAsia="en-GB"/>
        </w:rPr>
        <w:t>Transmission timing and timing adjustments</w:t>
      </w:r>
    </w:p>
    <w:p>
      <w:pPr>
        <w:pStyle w:val="50"/>
        <w:keepNext w:val="0"/>
        <w:pageBreakBefore w:val="0"/>
        <w:widowControl/>
        <w:kinsoku/>
        <w:wordWrap/>
        <w:topLinePunct w:val="0"/>
        <w:bidi w:val="0"/>
        <w:snapToGrid w:val="0"/>
        <w:spacing w:after="60" w:line="240" w:lineRule="auto"/>
        <w:ind w:hanging="288"/>
        <w:outlineLvl w:val="9"/>
        <w:rPr>
          <w:rFonts w:hint="default" w:ascii="Times New Roman" w:hAnsi="Times New Roman" w:cs="Times New Roman"/>
          <w:i/>
          <w:iCs/>
          <w:color w:val="auto"/>
          <w:sz w:val="20"/>
          <w:szCs w:val="20"/>
          <w:highlight w:val="none"/>
          <w:lang w:val="en-US" w:eastAsia="en-GB"/>
        </w:rPr>
      </w:pPr>
      <w:r>
        <w:rPr>
          <w:rFonts w:hint="default" w:ascii="Times New Roman" w:hAnsi="Times New Roman" w:cs="Times New Roman"/>
          <w:i/>
          <w:iCs/>
          <w:color w:val="auto"/>
          <w:sz w:val="20"/>
          <w:szCs w:val="20"/>
          <w:highlight w:val="none"/>
          <w:lang w:val="en-US" w:eastAsia="en-GB"/>
        </w:rPr>
        <w:t>b.</w:t>
      </w:r>
      <w:r>
        <w:rPr>
          <w:rFonts w:hint="default" w:ascii="Times New Roman" w:hAnsi="Times New Roman" w:cs="Times New Roman"/>
          <w:i/>
          <w:iCs/>
          <w:color w:val="auto"/>
          <w:sz w:val="20"/>
          <w:szCs w:val="20"/>
          <w:highlight w:val="none"/>
          <w:lang w:val="en-US" w:eastAsia="en-GB"/>
        </w:rPr>
        <w:tab/>
      </w:r>
      <w:r>
        <w:rPr>
          <w:rFonts w:hint="default" w:ascii="Times New Roman" w:hAnsi="Times New Roman" w:cs="Times New Roman"/>
          <w:i/>
          <w:iCs/>
          <w:color w:val="auto"/>
          <w:sz w:val="20"/>
          <w:szCs w:val="20"/>
          <w:highlight w:val="none"/>
          <w:lang w:val="en-US" w:eastAsia="en-GB"/>
        </w:rPr>
        <w:t>Power control</w:t>
      </w:r>
    </w:p>
    <w:p>
      <w:pPr>
        <w:pStyle w:val="50"/>
        <w:keepNext w:val="0"/>
        <w:pageBreakBefore w:val="0"/>
        <w:widowControl/>
        <w:kinsoku/>
        <w:wordWrap/>
        <w:topLinePunct w:val="0"/>
        <w:bidi w:val="0"/>
        <w:snapToGrid w:val="0"/>
        <w:spacing w:after="60" w:line="240" w:lineRule="auto"/>
        <w:ind w:hanging="288"/>
        <w:outlineLvl w:val="9"/>
        <w:rPr>
          <w:rFonts w:hint="default" w:ascii="Times New Roman" w:hAnsi="Times New Roman" w:cs="Times New Roman"/>
          <w:i/>
          <w:iCs/>
          <w:color w:val="auto"/>
          <w:sz w:val="20"/>
          <w:szCs w:val="20"/>
          <w:highlight w:val="none"/>
          <w:lang w:val="en-US" w:eastAsia="en-GB"/>
        </w:rPr>
      </w:pPr>
      <w:r>
        <w:rPr>
          <w:rFonts w:hint="default" w:ascii="Times New Roman" w:hAnsi="Times New Roman" w:cs="Times New Roman"/>
          <w:i/>
          <w:iCs/>
          <w:color w:val="auto"/>
          <w:sz w:val="20"/>
          <w:szCs w:val="20"/>
          <w:highlight w:val="none"/>
          <w:lang w:val="en-US" w:eastAsia="en-GB"/>
        </w:rPr>
        <w:t>c.</w:t>
      </w:r>
      <w:r>
        <w:rPr>
          <w:rFonts w:hint="default" w:ascii="Times New Roman" w:hAnsi="Times New Roman" w:cs="Times New Roman"/>
          <w:i/>
          <w:iCs/>
          <w:color w:val="auto"/>
          <w:sz w:val="20"/>
          <w:szCs w:val="20"/>
          <w:highlight w:val="none"/>
          <w:lang w:val="en-US" w:eastAsia="en-GB"/>
        </w:rPr>
        <w:tab/>
      </w:r>
      <w:r>
        <w:rPr>
          <w:rFonts w:hint="default" w:ascii="Times New Roman" w:hAnsi="Times New Roman" w:cs="Times New Roman"/>
          <w:i/>
          <w:iCs/>
          <w:color w:val="auto"/>
          <w:sz w:val="20"/>
          <w:szCs w:val="20"/>
          <w:highlight w:val="none"/>
          <w:lang w:val="en-US" w:eastAsia="en-GB"/>
        </w:rPr>
        <w:t>Beam management aspects</w:t>
      </w:r>
    </w:p>
    <w:p>
      <w:pPr>
        <w:pStyle w:val="46"/>
        <w:keepNext w:val="0"/>
        <w:pageBreakBefore w:val="0"/>
        <w:widowControl/>
        <w:kinsoku/>
        <w:wordWrap/>
        <w:topLinePunct w:val="0"/>
        <w:bidi w:val="0"/>
        <w:snapToGrid w:val="0"/>
        <w:spacing w:after="60" w:line="240" w:lineRule="auto"/>
        <w:ind w:left="540" w:hanging="270"/>
        <w:outlineLvl w:val="9"/>
        <w:rPr>
          <w:rFonts w:hint="default" w:ascii="Times New Roman" w:hAnsi="Times New Roman" w:cs="Times New Roman"/>
          <w:i/>
          <w:iCs/>
          <w:color w:val="auto"/>
          <w:sz w:val="20"/>
          <w:szCs w:val="20"/>
          <w:highlight w:val="none"/>
          <w:lang w:val="en-US" w:eastAsia="ko-KR"/>
        </w:rPr>
      </w:pPr>
      <w:r>
        <w:rPr>
          <w:rFonts w:hint="default" w:ascii="Times New Roman" w:hAnsi="Times New Roman" w:cs="Times New Roman"/>
          <w:i/>
          <w:iCs/>
          <w:color w:val="auto"/>
          <w:sz w:val="20"/>
          <w:szCs w:val="20"/>
          <w:highlight w:val="none"/>
          <w:lang w:val="en-US" w:eastAsia="ko-KR"/>
        </w:rPr>
        <w:t>3.</w:t>
      </w:r>
      <w:r>
        <w:rPr>
          <w:rFonts w:hint="default" w:ascii="Times New Roman" w:hAnsi="Times New Roman" w:cs="Times New Roman"/>
          <w:i/>
          <w:iCs/>
          <w:color w:val="auto"/>
          <w:sz w:val="20"/>
          <w:szCs w:val="20"/>
          <w:highlight w:val="none"/>
          <w:lang w:val="en-US" w:eastAsia="ko-KR"/>
        </w:rPr>
        <w:tab/>
      </w:r>
      <w:r>
        <w:rPr>
          <w:rFonts w:hint="default" w:ascii="Times New Roman" w:hAnsi="Times New Roman" w:eastAsia="MS Mincho" w:cs="Times New Roman"/>
          <w:i/>
          <w:iCs/>
          <w:color w:val="auto"/>
          <w:sz w:val="20"/>
          <w:szCs w:val="20"/>
          <w:highlight w:val="none"/>
          <w:lang w:val="en-US" w:eastAsia="en-GB"/>
        </w:rPr>
        <w:t>gNB procedures to support NR positioning measurements, including</w:t>
      </w:r>
    </w:p>
    <w:p>
      <w:pPr>
        <w:pStyle w:val="50"/>
        <w:keepNext w:val="0"/>
        <w:pageBreakBefore w:val="0"/>
        <w:widowControl/>
        <w:kinsoku/>
        <w:wordWrap/>
        <w:topLinePunct w:val="0"/>
        <w:bidi w:val="0"/>
        <w:snapToGrid w:val="0"/>
        <w:spacing w:after="60" w:line="240" w:lineRule="auto"/>
        <w:outlineLvl w:val="9"/>
        <w:rPr>
          <w:rFonts w:hint="default" w:ascii="Times New Roman" w:hAnsi="Times New Roman" w:cs="Times New Roman"/>
          <w:i/>
          <w:iCs/>
          <w:color w:val="auto"/>
          <w:sz w:val="20"/>
          <w:szCs w:val="20"/>
          <w:highlight w:val="none"/>
          <w:lang w:val="en-US" w:eastAsia="en-GB"/>
        </w:rPr>
      </w:pPr>
      <w:r>
        <w:rPr>
          <w:rFonts w:hint="default" w:ascii="Times New Roman" w:hAnsi="Times New Roman" w:cs="Times New Roman"/>
          <w:i/>
          <w:iCs/>
          <w:color w:val="auto"/>
          <w:sz w:val="20"/>
          <w:szCs w:val="20"/>
          <w:highlight w:val="none"/>
          <w:lang w:val="en-US" w:eastAsia="en-GB"/>
        </w:rPr>
        <w:t>a.</w:t>
      </w:r>
      <w:r>
        <w:rPr>
          <w:rFonts w:hint="default" w:ascii="Times New Roman" w:hAnsi="Times New Roman" w:cs="Times New Roman"/>
          <w:i/>
          <w:iCs/>
          <w:color w:val="auto"/>
          <w:sz w:val="20"/>
          <w:szCs w:val="20"/>
          <w:highlight w:val="none"/>
          <w:lang w:val="en-US" w:eastAsia="en-GB"/>
        </w:rPr>
        <w:tab/>
      </w:r>
      <w:r>
        <w:rPr>
          <w:rFonts w:hint="default" w:ascii="Times New Roman" w:hAnsi="Times New Roman" w:cs="Times New Roman"/>
          <w:i/>
          <w:iCs/>
          <w:color w:val="auto"/>
          <w:sz w:val="20"/>
          <w:szCs w:val="20"/>
          <w:highlight w:val="none"/>
          <w:lang w:val="en-US" w:eastAsia="en-GB"/>
        </w:rPr>
        <w:t>DL PRS configuration aspects</w:t>
      </w:r>
    </w:p>
    <w:p>
      <w:pPr>
        <w:pStyle w:val="50"/>
        <w:keepNext w:val="0"/>
        <w:pageBreakBefore w:val="0"/>
        <w:widowControl/>
        <w:kinsoku/>
        <w:wordWrap/>
        <w:topLinePunct w:val="0"/>
        <w:bidi w:val="0"/>
        <w:snapToGrid w:val="0"/>
        <w:spacing w:after="60" w:line="240" w:lineRule="auto"/>
        <w:ind w:left="850" w:hanging="288"/>
        <w:outlineLvl w:val="9"/>
        <w:rPr>
          <w:rFonts w:hint="default" w:ascii="Times New Roman" w:hAnsi="Times New Roman" w:cs="Times New Roman"/>
          <w:i/>
          <w:iCs/>
          <w:color w:val="auto"/>
          <w:sz w:val="20"/>
          <w:szCs w:val="20"/>
          <w:highlight w:val="none"/>
          <w:lang w:val="en-US" w:eastAsia="ko-KR"/>
        </w:rPr>
      </w:pPr>
      <w:r>
        <w:rPr>
          <w:rFonts w:hint="default" w:ascii="Times New Roman" w:hAnsi="Times New Roman" w:cs="Times New Roman"/>
          <w:i/>
          <w:iCs/>
          <w:color w:val="auto"/>
          <w:sz w:val="20"/>
          <w:szCs w:val="20"/>
          <w:highlight w:val="none"/>
          <w:lang w:val="en-US" w:eastAsia="ko-KR"/>
        </w:rPr>
        <w:t>b.</w:t>
      </w:r>
      <w:r>
        <w:rPr>
          <w:rFonts w:hint="default" w:ascii="Times New Roman" w:hAnsi="Times New Roman" w:cs="Times New Roman"/>
          <w:i/>
          <w:iCs/>
          <w:color w:val="auto"/>
          <w:sz w:val="20"/>
          <w:szCs w:val="20"/>
          <w:highlight w:val="none"/>
          <w:lang w:val="en-US" w:eastAsia="ko-KR"/>
        </w:rPr>
        <w:tab/>
      </w:r>
      <w:r>
        <w:rPr>
          <w:rFonts w:hint="default" w:ascii="Times New Roman" w:hAnsi="Times New Roman" w:cs="Times New Roman"/>
          <w:i/>
          <w:iCs/>
          <w:color w:val="auto"/>
          <w:sz w:val="20"/>
          <w:szCs w:val="20"/>
          <w:highlight w:val="none"/>
          <w:lang w:val="en-US" w:eastAsia="ko-KR"/>
        </w:rPr>
        <w:t>UL PRS configuration aspects</w:t>
      </w:r>
    </w:p>
    <w:p>
      <w:pPr>
        <w:pStyle w:val="50"/>
        <w:keepNext w:val="0"/>
        <w:pageBreakBefore w:val="0"/>
        <w:widowControl/>
        <w:kinsoku/>
        <w:wordWrap/>
        <w:topLinePunct w:val="0"/>
        <w:bidi w:val="0"/>
        <w:snapToGrid w:val="0"/>
        <w:spacing w:after="60" w:line="240" w:lineRule="auto"/>
        <w:ind w:left="850" w:hanging="288"/>
        <w:outlineLvl w:val="9"/>
        <w:rPr>
          <w:rFonts w:hint="default" w:ascii="Times New Roman" w:hAnsi="Times New Roman" w:cs="Times New Roman"/>
          <w:i/>
          <w:iCs/>
          <w:color w:val="auto"/>
          <w:sz w:val="20"/>
          <w:szCs w:val="20"/>
          <w:highlight w:val="none"/>
          <w:lang w:val="en-US" w:eastAsia="ko-KR"/>
        </w:rPr>
      </w:pPr>
      <w:r>
        <w:rPr>
          <w:rFonts w:hint="default" w:ascii="Times New Roman" w:hAnsi="Times New Roman" w:cs="Times New Roman"/>
          <w:i/>
          <w:iCs/>
          <w:color w:val="auto"/>
          <w:sz w:val="20"/>
          <w:szCs w:val="20"/>
          <w:highlight w:val="none"/>
          <w:lang w:val="en-US" w:eastAsia="ko-KR"/>
        </w:rPr>
        <w:t>c.   Beam management aspects</w:t>
      </w:r>
    </w:p>
    <w:p>
      <w:pPr>
        <w:pStyle w:val="50"/>
        <w:keepNext w:val="0"/>
        <w:pageBreakBefore w:val="0"/>
        <w:widowControl/>
        <w:kinsoku/>
        <w:wordWrap/>
        <w:topLinePunct w:val="0"/>
        <w:bidi w:val="0"/>
        <w:snapToGrid w:val="0"/>
        <w:spacing w:line="240" w:lineRule="auto"/>
        <w:outlineLvl w:val="9"/>
        <w:rPr>
          <w:i/>
          <w:iCs/>
          <w:color w:val="auto"/>
          <w:sz w:val="20"/>
          <w:szCs w:val="20"/>
          <w:highlight w:val="none"/>
        </w:rPr>
      </w:pPr>
      <w:r>
        <w:rPr>
          <w:rFonts w:hint="default" w:ascii="Times New Roman" w:hAnsi="Times New Roman" w:cs="Times New Roman"/>
          <w:i/>
          <w:iCs/>
          <w:color w:val="auto"/>
          <w:sz w:val="20"/>
          <w:szCs w:val="20"/>
          <w:highlight w:val="none"/>
          <w:lang w:val="en-US" w:eastAsia="ko-KR"/>
        </w:rPr>
        <w:t>d.</w:t>
      </w:r>
      <w:r>
        <w:rPr>
          <w:rFonts w:hint="default" w:ascii="Times New Roman" w:hAnsi="Times New Roman" w:cs="Times New Roman"/>
          <w:i/>
          <w:iCs/>
          <w:color w:val="auto"/>
          <w:sz w:val="20"/>
          <w:szCs w:val="20"/>
          <w:highlight w:val="none"/>
          <w:lang w:val="en-US" w:eastAsia="ko-KR"/>
        </w:rPr>
        <w:tab/>
      </w:r>
      <w:r>
        <w:rPr>
          <w:rFonts w:hint="default" w:ascii="Times New Roman" w:hAnsi="Times New Roman" w:cs="Times New Roman"/>
          <w:i/>
          <w:iCs/>
          <w:color w:val="auto"/>
          <w:sz w:val="20"/>
          <w:szCs w:val="20"/>
          <w:highlight w:val="none"/>
          <w:lang w:val="en-US" w:eastAsia="ko-KR"/>
        </w:rPr>
        <w:t>Measurement/reporting related aspects</w:t>
      </w:r>
    </w:p>
    <w:p>
      <w:pPr>
        <w:keepNext w:val="0"/>
        <w:keepLines w:val="0"/>
        <w:pageBreakBefore w:val="0"/>
        <w:widowControl w:val="0"/>
        <w:kinsoku/>
        <w:wordWrap/>
        <w:overflowPunct w:val="0"/>
        <w:topLinePunct w:val="0"/>
        <w:autoSpaceDE w:val="0"/>
        <w:autoSpaceDN w:val="0"/>
        <w:bidi w:val="0"/>
        <w:adjustRightInd w:val="0"/>
        <w:snapToGrid w:val="0"/>
        <w:spacing w:before="181" w:beforeLines="50" w:after="181" w:afterLines="50" w:line="240" w:lineRule="auto"/>
        <w:textAlignment w:val="center"/>
        <w:outlineLvl w:val="9"/>
        <w:rPr>
          <w:rFonts w:hint="default" w:eastAsiaTheme="minorEastAsia"/>
          <w:sz w:val="20"/>
          <w:szCs w:val="22"/>
          <w:lang w:val="en-US" w:eastAsia="zh-CN"/>
        </w:rPr>
      </w:pPr>
      <w:r>
        <w:rPr>
          <w:rFonts w:hint="eastAsia" w:ascii="Times New Roman" w:hAnsi="Times New Roman"/>
          <w:sz w:val="20"/>
          <w:szCs w:val="20"/>
          <w:lang w:val="en-US" w:eastAsia="zh-CN"/>
        </w:rPr>
        <w:t xml:space="preserve">In this contribution, we provide our views on </w:t>
      </w:r>
      <w:r>
        <w:rPr>
          <w:rFonts w:hint="eastAsia"/>
          <w:sz w:val="20"/>
          <w:szCs w:val="20"/>
          <w:lang w:val="en-US" w:eastAsia="zh-CN"/>
        </w:rPr>
        <w:t>some of these aspects</w:t>
      </w:r>
      <w:r>
        <w:rPr>
          <w:rFonts w:hint="eastAsia" w:eastAsiaTheme="minorEastAsia"/>
          <w:sz w:val="20"/>
          <w:szCs w:val="22"/>
          <w:lang w:val="en-US" w:eastAsia="zh-CN"/>
        </w:rPr>
        <w:t xml:space="preserve">.  </w:t>
      </w:r>
    </w:p>
    <w:p>
      <w:pPr>
        <w:pStyle w:val="2"/>
        <w:pageBreakBefore w:val="0"/>
        <w:tabs>
          <w:tab w:val="left" w:pos="360"/>
          <w:tab w:val="clear" w:pos="612"/>
        </w:tabs>
        <w:kinsoku/>
        <w:wordWrap/>
        <w:topLinePunct w:val="0"/>
        <w:bidi w:val="0"/>
        <w:snapToGrid w:val="0"/>
        <w:ind w:hanging="612"/>
      </w:pPr>
      <w:r>
        <w:rPr>
          <w:rFonts w:hint="eastAsia"/>
          <w:lang w:val="en-US" w:eastAsia="zh-CN"/>
        </w:rPr>
        <w:t>Discussion</w:t>
      </w:r>
    </w:p>
    <w:p>
      <w:pPr>
        <w:pStyle w:val="3"/>
        <w:pageBreakBefore w:val="0"/>
        <w:widowControl w:val="0"/>
        <w:pBdr>
          <w:top w:val="none" w:color="auto" w:sz="0" w:space="0"/>
        </w:pBdr>
        <w:kinsoku/>
        <w:wordWrap/>
        <w:overflowPunct/>
        <w:topLinePunct w:val="0"/>
        <w:bidi w:val="0"/>
        <w:snapToGrid w:val="0"/>
        <w:spacing w:before="260" w:after="260" w:line="240" w:lineRule="auto"/>
        <w:jc w:val="left"/>
        <w:textAlignment w:val="auto"/>
        <w:rPr>
          <w:rFonts w:hint="default" w:ascii="Arial" w:hAnsi="Arial" w:eastAsia="黑体" w:cs="Arial"/>
          <w:iCs w:val="0"/>
          <w:sz w:val="21"/>
          <w:szCs w:val="21"/>
          <w:lang w:val="en-US" w:eastAsia="zh-CN"/>
        </w:rPr>
      </w:pPr>
      <w:r>
        <w:rPr>
          <w:rFonts w:hint="eastAsia" w:eastAsia="黑体" w:cs="Arial"/>
          <w:iCs w:val="0"/>
          <w:sz w:val="21"/>
          <w:szCs w:val="21"/>
          <w:lang w:val="en-US" w:eastAsia="zh-CN"/>
        </w:rPr>
        <w:t>DL Beam Management aspects</w:t>
      </w:r>
    </w:p>
    <w:p>
      <w:pPr>
        <w:pageBreakBefore w:val="0"/>
        <w:kinsoku/>
        <w:wordWrap/>
        <w:topLinePunct w:val="0"/>
        <w:bidi w:val="0"/>
        <w:snapToGrid w:val="0"/>
        <w:rPr>
          <w:rFonts w:hint="eastAsia" w:eastAsia="黑体" w:cs="Arial"/>
          <w:iCs w:val="0"/>
          <w:sz w:val="21"/>
          <w:szCs w:val="21"/>
          <w:lang w:val="en-US" w:eastAsia="zh-CN"/>
        </w:rPr>
      </w:pPr>
      <w:r>
        <w:rPr>
          <w:rFonts w:hint="eastAsia" w:eastAsia="黑体" w:cs="Arial"/>
          <w:iCs w:val="0"/>
          <w:sz w:val="21"/>
          <w:szCs w:val="21"/>
          <w:lang w:val="en-US" w:eastAsia="zh-CN"/>
        </w:rPr>
        <w:t xml:space="preserve">For DL beam management aspects related positioning, three options are listed in the following agreement [1] </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u w:val="single"/>
        </w:rPr>
      </w:pPr>
      <w:r>
        <w:rPr>
          <w:i/>
          <w:iCs/>
          <w:color w:val="auto"/>
          <w:sz w:val="20"/>
          <w:szCs w:val="20"/>
          <w:highlight w:val="none"/>
          <w:u w:val="single"/>
        </w:rPr>
        <w:t>Agreement:</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lang w:val="en-US"/>
        </w:rPr>
      </w:pPr>
      <w:r>
        <w:rPr>
          <w:i/>
          <w:iCs/>
          <w:color w:val="auto"/>
          <w:sz w:val="20"/>
          <w:szCs w:val="20"/>
          <w:highlight w:val="none"/>
          <w:lang w:val="en-US"/>
        </w:rPr>
        <w:t xml:space="preserve">For positioning purposes, to assist UE to </w:t>
      </w:r>
      <w:r>
        <w:rPr>
          <w:bCs/>
          <w:i/>
          <w:iCs/>
          <w:color w:val="auto"/>
          <w:sz w:val="20"/>
          <w:szCs w:val="20"/>
          <w:highlight w:val="none"/>
          <w:lang w:val="en-US"/>
        </w:rPr>
        <w:t>perform Rx beamforming</w:t>
      </w:r>
      <w:r>
        <w:rPr>
          <w:i/>
          <w:iCs/>
          <w:color w:val="auto"/>
          <w:sz w:val="20"/>
          <w:szCs w:val="20"/>
          <w:highlight w:val="none"/>
          <w:lang w:val="en-US"/>
        </w:rPr>
        <w:t>, consider one or more of the following options:</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lang w:val="en-US"/>
        </w:rPr>
      </w:pPr>
      <w:r>
        <w:rPr>
          <w:i/>
          <w:iCs/>
          <w:color w:val="auto"/>
          <w:sz w:val="20"/>
          <w:szCs w:val="20"/>
          <w:highlight w:val="none"/>
          <w:lang w:val="en-US"/>
        </w:rPr>
        <w:t>Option 1: The DL PRS can be configured to be QCLed Type D with a DL Reference Signal from a serving or neighboring cell.</w:t>
      </w:r>
    </w:p>
    <w:p>
      <w:pPr>
        <w:keepNext w:val="0"/>
        <w:keepLines w:val="0"/>
        <w:pageBreakBefore w:val="0"/>
        <w:widowControl/>
        <w:numPr>
          <w:ilvl w:val="1"/>
          <w:numId w:val="8"/>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lang w:val="en-US"/>
        </w:rPr>
      </w:pPr>
      <w:r>
        <w:rPr>
          <w:i/>
          <w:iCs/>
          <w:color w:val="auto"/>
          <w:sz w:val="20"/>
          <w:szCs w:val="20"/>
          <w:highlight w:val="none"/>
          <w:lang w:val="en-US"/>
        </w:rPr>
        <w:t>Discuss further which DL reference signal can be used (e.g., SSB, CSI-RS, DL-PRS).</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lang w:val="en-US"/>
        </w:rPr>
      </w:pPr>
      <w:r>
        <w:rPr>
          <w:i/>
          <w:iCs/>
          <w:color w:val="auto"/>
          <w:sz w:val="20"/>
          <w:szCs w:val="20"/>
          <w:highlight w:val="none"/>
          <w:lang w:val="en-US"/>
        </w:rPr>
        <w:t>Option 2: The UE may perform a Rx beam sweeping on DL PRS resources which are transmitted with the same downlink spatial domain transmission filter.</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lang w:val="en-US"/>
        </w:rPr>
      </w:pPr>
      <w:r>
        <w:rPr>
          <w:i/>
          <w:iCs/>
          <w:color w:val="auto"/>
          <w:sz w:val="20"/>
          <w:szCs w:val="20"/>
          <w:highlight w:val="none"/>
          <w:lang w:val="en-US"/>
        </w:rPr>
        <w:t xml:space="preserve">Option 3: The UE may use a fixed Rx beam to receive DL PRS resources which are transmitted with different downlink spatial domain transmission filter. </w:t>
      </w:r>
    </w:p>
    <w:p>
      <w:pPr>
        <w:keepNext w:val="0"/>
        <w:keepLines w:val="0"/>
        <w:pageBreakBefore w:val="0"/>
        <w:widowControl/>
        <w:numPr>
          <w:ilvl w:val="1"/>
          <w:numId w:val="8"/>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lang w:val="en-US"/>
        </w:rPr>
      </w:pPr>
      <w:r>
        <w:rPr>
          <w:i/>
          <w:iCs/>
          <w:color w:val="auto"/>
          <w:sz w:val="20"/>
          <w:szCs w:val="20"/>
          <w:highlight w:val="none"/>
          <w:lang w:val="en-US"/>
        </w:rPr>
        <w:t>FFS: Whether this option can be achieved by Option 1</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lang w:val="en-US"/>
        </w:rPr>
      </w:pPr>
      <w:r>
        <w:rPr>
          <w:i/>
          <w:iCs/>
          <w:color w:val="auto"/>
          <w:sz w:val="20"/>
          <w:szCs w:val="20"/>
          <w:highlight w:val="none"/>
          <w:lang w:val="en-US"/>
        </w:rPr>
        <w:t>FFS on specification impacts.</w:t>
      </w:r>
    </w:p>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outlineLvl w:val="9"/>
        <w:rPr>
          <w:rFonts w:hint="eastAsia" w:eastAsia="黑体" w:cs="Arial"/>
          <w:iCs w:val="0"/>
          <w:sz w:val="21"/>
          <w:szCs w:val="21"/>
          <w:lang w:val="en-US" w:eastAsia="zh-CN"/>
        </w:rPr>
      </w:pPr>
      <w:r>
        <w:rPr>
          <w:rFonts w:hint="eastAsia" w:eastAsia="黑体" w:cs="Arial"/>
          <w:iCs w:val="0"/>
          <w:sz w:val="21"/>
          <w:szCs w:val="21"/>
          <w:lang w:val="en-US" w:eastAsia="zh-CN"/>
        </w:rPr>
        <w:t xml:space="preserve">Based on Rel-15 discussion for beam management, SSB and CSI-RS can be used for initial beam sweeping. Then, for a target signal, those reference signals can be configured in TCI state as the QCL type D source. The target signal can be any of PDSCH, PDCCH, CSI-RS including for beam refinement, for CSI feedback and for tracking. This mechanism significantly saves RS overhead  for beam management. Taking CSI-RS for tracking, i.e. TRS as an example, gNB can configure SSB or CSI-RS for beam management in the TCI state for this target TRS. When UE receives this TRS, UE will use the same receiving beam as the SSB or CSI-RS configured in the TCI state. In other words, gNB does not need to repeat this TRS several times for UE Rx beam sweeping. For DL PRS, the situation is the same as TRS. The beam management procedure can be reused for PRS which can be assumed as a target signal. </w:t>
      </w:r>
    </w:p>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outlineLvl w:val="9"/>
        <w:rPr>
          <w:rFonts w:hint="eastAsia" w:eastAsia="黑体" w:cs="Arial"/>
          <w:iCs w:val="0"/>
          <w:sz w:val="21"/>
          <w:szCs w:val="21"/>
          <w:lang w:val="en-US" w:eastAsia="zh-CN"/>
        </w:rPr>
      </w:pPr>
      <w:r>
        <w:rPr>
          <w:rFonts w:hint="eastAsia" w:eastAsia="黑体" w:cs="Arial"/>
          <w:iCs w:val="0"/>
          <w:sz w:val="21"/>
          <w:szCs w:val="21"/>
          <w:lang w:val="en-US" w:eastAsia="zh-CN"/>
        </w:rPr>
        <w:t>In Rel-15 beam managemetn, if the target CSI-RS is periodic, only SSB or periodic CSI-RS can be the QCL source of the target CSI-RS. In other words, aperiodic or semi-persistent CSI-RS cannot be the QCL source of the periodic target CSI-RS. Since DL PRS is periodic, the QCL source thus should only be periodic, i.e. only be SSB or periodic CSI-RS.</w:t>
      </w:r>
    </w:p>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outlineLvl w:val="9"/>
        <w:rPr>
          <w:rFonts w:hint="eastAsia" w:eastAsia="黑体" w:cs="Arial"/>
          <w:iCs w:val="0"/>
          <w:sz w:val="21"/>
          <w:szCs w:val="21"/>
          <w:lang w:val="en-US" w:eastAsia="zh-CN"/>
        </w:rPr>
      </w:pPr>
      <w:r>
        <w:rPr>
          <w:rFonts w:hint="eastAsia" w:eastAsia="黑体" w:cs="Arial"/>
          <w:iCs w:val="0"/>
          <w:sz w:val="21"/>
          <w:szCs w:val="21"/>
          <w:lang w:val="en-US" w:eastAsia="zh-CN"/>
        </w:rPr>
        <w:t xml:space="preserve">Because many DL PRS resources will be transmitted by neighbour cells, it is better to support mobility CSI-RS as QCL source in order to save CSI-RS overhead. Specifically, mobility CSI-RS can be configured in a TCI state. </w:t>
      </w:r>
    </w:p>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outlineLvl w:val="9"/>
        <w:rPr>
          <w:rFonts w:hint="eastAsia" w:eastAsia="宋体"/>
          <w:i w:val="0"/>
          <w:iCs w:val="0"/>
          <w:color w:val="auto"/>
          <w:sz w:val="20"/>
          <w:szCs w:val="20"/>
          <w:highlight w:val="none"/>
          <w:lang w:val="en-US" w:eastAsia="zh-CN"/>
        </w:rPr>
      </w:pPr>
      <w:r>
        <w:rPr>
          <w:rFonts w:hint="eastAsia" w:eastAsia="宋体"/>
          <w:i w:val="0"/>
          <w:iCs w:val="0"/>
          <w:color w:val="auto"/>
          <w:sz w:val="20"/>
          <w:szCs w:val="20"/>
          <w:highlight w:val="none"/>
          <w:lang w:val="en-US" w:eastAsia="zh-CN"/>
        </w:rPr>
        <w:t xml:space="preserve">In Rel-15, Based on CSI-RS resource set configured with repetition </w:t>
      </w:r>
      <w:r>
        <w:rPr>
          <w:rFonts w:hint="default" w:eastAsia="宋体"/>
          <w:i w:val="0"/>
          <w:iCs w:val="0"/>
          <w:color w:val="auto"/>
          <w:sz w:val="20"/>
          <w:szCs w:val="20"/>
          <w:highlight w:val="none"/>
          <w:lang w:val="en-US" w:eastAsia="zh-CN"/>
        </w:rPr>
        <w:t>‘</w:t>
      </w:r>
      <w:r>
        <w:rPr>
          <w:rFonts w:hint="eastAsia" w:eastAsia="宋体"/>
          <w:i w:val="0"/>
          <w:iCs w:val="0"/>
          <w:color w:val="auto"/>
          <w:sz w:val="20"/>
          <w:szCs w:val="20"/>
          <w:highlight w:val="none"/>
          <w:lang w:val="en-US" w:eastAsia="zh-CN"/>
        </w:rPr>
        <w:t>on</w:t>
      </w:r>
      <w:r>
        <w:rPr>
          <w:rFonts w:hint="default" w:eastAsia="宋体"/>
          <w:i w:val="0"/>
          <w:iCs w:val="0"/>
          <w:color w:val="auto"/>
          <w:sz w:val="20"/>
          <w:szCs w:val="20"/>
          <w:highlight w:val="none"/>
          <w:lang w:val="en-US" w:eastAsia="zh-CN"/>
        </w:rPr>
        <w:t>’</w:t>
      </w:r>
      <w:r>
        <w:rPr>
          <w:rFonts w:hint="eastAsia" w:eastAsia="宋体"/>
          <w:i w:val="0"/>
          <w:iCs w:val="0"/>
          <w:color w:val="auto"/>
          <w:sz w:val="20"/>
          <w:szCs w:val="20"/>
          <w:highlight w:val="none"/>
          <w:lang w:val="en-US" w:eastAsia="zh-CN"/>
        </w:rPr>
        <w:t>, UE can perform Rx beam sweeping and get the best Rx beam for a corresponding Tx beam from a TRP. Therefore, UE Rx beam sweeping based on PRS resources are unnecessary. Because the density of PRS resource is much higher than CSI-RS for beam management, it will cause huge unnecessary PRS overhead if the additional Rx beam sweeping procedure is supported based on PRS. Therefore, option 2 should not be supported.</w:t>
      </w:r>
    </w:p>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outlineLvl w:val="9"/>
        <w:rPr>
          <w:rFonts w:hint="eastAsia" w:eastAsia="宋体"/>
          <w:i w:val="0"/>
          <w:iCs w:val="0"/>
          <w:color w:val="auto"/>
          <w:sz w:val="20"/>
          <w:szCs w:val="20"/>
          <w:highlight w:val="none"/>
          <w:lang w:val="en-US" w:eastAsia="zh-CN"/>
        </w:rPr>
      </w:pPr>
      <w:r>
        <w:rPr>
          <w:rFonts w:hint="eastAsia" w:eastAsia="宋体"/>
          <w:i w:val="0"/>
          <w:iCs w:val="0"/>
          <w:color w:val="auto"/>
          <w:sz w:val="20"/>
          <w:szCs w:val="20"/>
          <w:highlight w:val="none"/>
          <w:lang w:val="en-US" w:eastAsia="zh-CN"/>
        </w:rPr>
        <w:t>Option 3 can be achieved by option 1 wherein multiple PRS resources within the same PRS resource set are configured with the same QCL type D source, i.e. the same TCI state. Then UE will use the same Rx beam to measure these PRS resources. The TCI state is only use to indicate UE the Rx beam, the real transmit beams of these PRS resources are up to gNB, and can still be different even the same TCI state is configured.</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rFonts w:hint="eastAsia"/>
          <w:b/>
          <w:bCs/>
          <w:i/>
          <w:iCs/>
          <w:color w:val="auto"/>
          <w:sz w:val="20"/>
          <w:szCs w:val="20"/>
          <w:highlight w:val="none"/>
          <w:lang w:val="en-US" w:eastAsia="zh-CN"/>
        </w:rPr>
      </w:pPr>
      <w:r>
        <w:rPr>
          <w:rFonts w:hint="eastAsia"/>
          <w:b/>
          <w:bCs/>
          <w:i/>
          <w:iCs/>
          <w:color w:val="auto"/>
          <w:sz w:val="20"/>
          <w:szCs w:val="20"/>
          <w:highlight w:val="none"/>
          <w:lang w:val="en-US" w:eastAsia="zh-CN"/>
        </w:rPr>
        <w:t>Proposal 1: Support only option 1, i.e. t</w:t>
      </w:r>
      <w:r>
        <w:rPr>
          <w:b/>
          <w:bCs/>
          <w:i/>
          <w:iCs/>
          <w:color w:val="auto"/>
          <w:sz w:val="20"/>
          <w:szCs w:val="20"/>
          <w:highlight w:val="none"/>
          <w:lang w:val="en-US"/>
        </w:rPr>
        <w:t>he DL PRS can be configured to be QCLed Type D with a DL Reference Signal from a serving or neighboring cell</w:t>
      </w:r>
      <w:r>
        <w:rPr>
          <w:rFonts w:hint="eastAsia"/>
          <w:b/>
          <w:bCs/>
          <w:i/>
          <w:iCs/>
          <w:color w:val="auto"/>
          <w:sz w:val="20"/>
          <w:szCs w:val="20"/>
          <w:highlight w:val="none"/>
          <w:lang w:val="en-US" w:eastAsia="zh-CN"/>
        </w:rPr>
        <w:t xml:space="preserve">. </w:t>
      </w:r>
    </w:p>
    <w:p>
      <w:pPr>
        <w:keepNext w:val="0"/>
        <w:keepLines w:val="0"/>
        <w:pageBreakBefore w:val="0"/>
        <w:widowControl/>
        <w:numPr>
          <w:ilvl w:val="0"/>
          <w:numId w:val="8"/>
        </w:numPr>
        <w:tabs>
          <w:tab w:val="left" w:pos="1440"/>
          <w:tab w:val="clear" w:pos="720"/>
        </w:tabs>
        <w:kinsoku/>
        <w:wordWrap/>
        <w:overflowPunct w:val="0"/>
        <w:topLinePunct w:val="0"/>
        <w:autoSpaceDE w:val="0"/>
        <w:autoSpaceDN w:val="0"/>
        <w:bidi w:val="0"/>
        <w:adjustRightInd w:val="0"/>
        <w:snapToGrid w:val="0"/>
        <w:spacing w:after="0" w:line="240" w:lineRule="auto"/>
        <w:ind w:left="720" w:leftChars="0" w:hanging="360" w:firstLineChars="0"/>
        <w:textAlignment w:val="baseline"/>
        <w:outlineLvl w:val="9"/>
        <w:rPr>
          <w:rFonts w:hint="eastAsia" w:eastAsia="宋体"/>
          <w:b/>
          <w:bCs/>
          <w:i/>
          <w:iCs/>
          <w:color w:val="auto"/>
          <w:sz w:val="20"/>
          <w:szCs w:val="20"/>
          <w:highlight w:val="none"/>
          <w:lang w:val="en-US" w:eastAsia="zh-CN"/>
        </w:rPr>
      </w:pPr>
      <w:r>
        <w:rPr>
          <w:rFonts w:hint="eastAsia"/>
          <w:b/>
          <w:bCs/>
          <w:i/>
          <w:iCs/>
          <w:color w:val="auto"/>
          <w:sz w:val="20"/>
          <w:szCs w:val="20"/>
          <w:highlight w:val="none"/>
          <w:lang w:val="en-US" w:eastAsia="zh-CN"/>
        </w:rPr>
        <w:t>SSB and periodic CSI-RS can be the QCL source.</w:t>
      </w:r>
    </w:p>
    <w:p>
      <w:pPr>
        <w:pStyle w:val="3"/>
        <w:pageBreakBefore w:val="0"/>
        <w:widowControl w:val="0"/>
        <w:pBdr>
          <w:top w:val="none" w:color="auto" w:sz="0" w:space="0"/>
        </w:pBdr>
        <w:kinsoku/>
        <w:wordWrap/>
        <w:overflowPunct/>
        <w:topLinePunct w:val="0"/>
        <w:bidi w:val="0"/>
        <w:snapToGrid w:val="0"/>
        <w:spacing w:before="260" w:after="260" w:line="240" w:lineRule="auto"/>
        <w:jc w:val="left"/>
        <w:textAlignment w:val="auto"/>
        <w:rPr>
          <w:rFonts w:hint="default" w:ascii="Arial" w:hAnsi="Arial" w:eastAsia="黑体" w:cs="Arial"/>
          <w:iCs w:val="0"/>
          <w:sz w:val="21"/>
          <w:szCs w:val="21"/>
          <w:lang w:val="en-US" w:eastAsia="zh-CN"/>
        </w:rPr>
      </w:pPr>
      <w:r>
        <w:rPr>
          <w:rFonts w:hint="eastAsia" w:eastAsia="黑体" w:cs="Arial"/>
          <w:iCs w:val="0"/>
          <w:sz w:val="21"/>
          <w:szCs w:val="21"/>
          <w:lang w:val="en-US" w:eastAsia="zh-CN"/>
        </w:rPr>
        <w:t>UL Beam Management aspects</w:t>
      </w:r>
    </w:p>
    <w:p>
      <w:pPr>
        <w:pageBreakBefore w:val="0"/>
        <w:kinsoku/>
        <w:wordWrap/>
        <w:topLinePunct w:val="0"/>
        <w:bidi w:val="0"/>
        <w:snapToGrid w:val="0"/>
        <w:rPr>
          <w:rFonts w:hint="eastAsia" w:eastAsia="黑体" w:cs="Arial"/>
          <w:iCs w:val="0"/>
          <w:sz w:val="21"/>
          <w:szCs w:val="21"/>
          <w:lang w:val="en-US" w:eastAsia="zh-CN"/>
        </w:rPr>
      </w:pPr>
      <w:r>
        <w:rPr>
          <w:rFonts w:hint="eastAsia" w:eastAsia="黑体" w:cs="Arial"/>
          <w:iCs w:val="0"/>
          <w:sz w:val="21"/>
          <w:szCs w:val="21"/>
          <w:lang w:val="en-US" w:eastAsia="zh-CN"/>
        </w:rPr>
        <w:t xml:space="preserve">For UL beam management aspects related positioning, three options are listed in the following agreement [1] </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u w:val="single"/>
        </w:rPr>
      </w:pPr>
      <w:r>
        <w:rPr>
          <w:i/>
          <w:iCs/>
          <w:color w:val="auto"/>
          <w:sz w:val="20"/>
          <w:szCs w:val="20"/>
          <w:highlight w:val="none"/>
          <w:u w:val="single"/>
        </w:rPr>
        <w:t>Agreement:</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rPr>
      </w:pPr>
      <w:r>
        <w:rPr>
          <w:i/>
          <w:iCs/>
          <w:color w:val="auto"/>
          <w:sz w:val="20"/>
          <w:szCs w:val="20"/>
          <w:highlight w:val="none"/>
        </w:rPr>
        <w:t>For positioning purposes, with regard to UL Beam management/alignment towards serving and neighbouring cells, consider one or more of at least the following options:</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rPr>
      </w:pPr>
      <w:r>
        <w:rPr>
          <w:i/>
          <w:iCs/>
          <w:color w:val="auto"/>
          <w:sz w:val="20"/>
          <w:szCs w:val="20"/>
          <w:highlight w:val="none"/>
        </w:rPr>
        <w:t>Option 1:  Support configuration of a spatial relation between a reference DL RS from serving or neighbouring cells and the target SRS.</w:t>
      </w:r>
    </w:p>
    <w:p>
      <w:pPr>
        <w:keepNext w:val="0"/>
        <w:keepLines w:val="0"/>
        <w:pageBreakBefore w:val="0"/>
        <w:widowControl/>
        <w:numPr>
          <w:ilvl w:val="1"/>
          <w:numId w:val="9"/>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rPr>
      </w:pPr>
      <w:r>
        <w:rPr>
          <w:i/>
          <w:iCs/>
          <w:color w:val="auto"/>
          <w:sz w:val="20"/>
          <w:szCs w:val="20"/>
          <w:highlight w:val="none"/>
        </w:rPr>
        <w:t>FFS: Which Reference DL RS can be used (e.g., SSB/CSI-RS/DL-PRS).</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rPr>
      </w:pPr>
      <w:r>
        <w:rPr>
          <w:i/>
          <w:iCs/>
          <w:color w:val="auto"/>
          <w:sz w:val="20"/>
          <w:szCs w:val="20"/>
          <w:highlight w:val="none"/>
        </w:rPr>
        <w:t>Option 2: Support UE Tx beam-sweeping on UL SRS transmissions across multiple UL SRS Resources.</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rPr>
      </w:pPr>
      <w:r>
        <w:rPr>
          <w:i/>
          <w:iCs/>
          <w:color w:val="auto"/>
          <w:sz w:val="20"/>
          <w:szCs w:val="20"/>
          <w:highlight w:val="none"/>
        </w:rPr>
        <w:t>Option 3: The Tx beam is fixed for UL SRS transmissions across multiple UL SRS Resources, for both FR1 and FR2.</w:t>
      </w:r>
    </w:p>
    <w:p>
      <w:pPr>
        <w:keepNext w:val="0"/>
        <w:keepLines w:val="0"/>
        <w:pageBreakBefore w:val="0"/>
        <w:widowControl/>
        <w:numPr>
          <w:ilvl w:val="1"/>
          <w:numId w:val="9"/>
        </w:numPr>
        <w:kinsoku/>
        <w:wordWrap/>
        <w:overflowPunct w:val="0"/>
        <w:topLinePunct w:val="0"/>
        <w:autoSpaceDE w:val="0"/>
        <w:autoSpaceDN w:val="0"/>
        <w:bidi w:val="0"/>
        <w:adjustRightInd w:val="0"/>
        <w:snapToGrid w:val="0"/>
        <w:spacing w:after="0" w:line="240" w:lineRule="auto"/>
        <w:textAlignment w:val="baseline"/>
        <w:outlineLvl w:val="9"/>
        <w:rPr>
          <w:rFonts w:hint="default" w:ascii="Times New Roman" w:hAnsi="Times New Roman" w:cs="Times New Roman"/>
          <w:i/>
          <w:iCs/>
          <w:color w:val="auto"/>
          <w:sz w:val="20"/>
          <w:szCs w:val="20"/>
          <w:highlight w:val="none"/>
        </w:rPr>
      </w:pPr>
      <w:r>
        <w:rPr>
          <w:i/>
          <w:iCs/>
          <w:color w:val="auto"/>
          <w:sz w:val="20"/>
          <w:szCs w:val="20"/>
          <w:highlight w:val="none"/>
        </w:rPr>
        <w:t>FFS: How the fixed beam is selected</w:t>
      </w:r>
    </w:p>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outlineLvl w:val="9"/>
        <w:rPr>
          <w:rFonts w:hint="eastAsia" w:eastAsia="宋体"/>
          <w:b w:val="0"/>
          <w:bCs w:val="0"/>
          <w:i w:val="0"/>
          <w:iCs w:val="0"/>
          <w:color w:val="auto"/>
          <w:sz w:val="20"/>
          <w:szCs w:val="20"/>
          <w:highlight w:val="none"/>
          <w:lang w:val="en-US" w:eastAsia="zh-CN"/>
        </w:rPr>
      </w:pPr>
      <w:r>
        <w:rPr>
          <w:rFonts w:hint="eastAsia" w:eastAsia="宋体"/>
          <w:b w:val="0"/>
          <w:bCs w:val="0"/>
          <w:i w:val="0"/>
          <w:iCs w:val="0"/>
          <w:color w:val="auto"/>
          <w:sz w:val="20"/>
          <w:szCs w:val="20"/>
          <w:highlight w:val="none"/>
          <w:lang w:val="en-US" w:eastAsia="zh-CN"/>
        </w:rPr>
        <w:t>These three options are very similar with those for DL. We suggest the similar proposal for UL</w:t>
      </w:r>
    </w:p>
    <w:p>
      <w:pPr>
        <w:keepNext w:val="0"/>
        <w:keepLines w:val="0"/>
        <w:pageBreakBefore w:val="0"/>
        <w:widowControl/>
        <w:kinsoku/>
        <w:wordWrap/>
        <w:overflowPunct w:val="0"/>
        <w:topLinePunct w:val="0"/>
        <w:autoSpaceDE w:val="0"/>
        <w:autoSpaceDN w:val="0"/>
        <w:bidi w:val="0"/>
        <w:adjustRightInd w:val="0"/>
        <w:snapToGrid w:val="0"/>
        <w:spacing w:before="181" w:after="0"/>
        <w:textAlignment w:val="baseline"/>
        <w:outlineLvl w:val="9"/>
        <w:rPr>
          <w:b/>
          <w:bCs/>
          <w:i/>
          <w:iCs/>
          <w:color w:val="auto"/>
          <w:sz w:val="20"/>
          <w:szCs w:val="20"/>
          <w:highlight w:val="none"/>
        </w:rPr>
      </w:pPr>
      <w:r>
        <w:rPr>
          <w:rFonts w:hint="eastAsia" w:eastAsia="宋体"/>
          <w:b/>
          <w:bCs/>
          <w:i/>
          <w:iCs/>
          <w:color w:val="auto"/>
          <w:sz w:val="20"/>
          <w:szCs w:val="20"/>
          <w:highlight w:val="none"/>
          <w:lang w:val="en-US" w:eastAsia="zh-CN"/>
        </w:rPr>
        <w:t xml:space="preserve">Proposal 2: Support option 1, i.e. </w:t>
      </w:r>
      <w:r>
        <w:rPr>
          <w:b/>
          <w:bCs/>
          <w:i/>
          <w:iCs/>
          <w:color w:val="auto"/>
          <w:sz w:val="20"/>
          <w:szCs w:val="20"/>
          <w:highlight w:val="none"/>
        </w:rPr>
        <w:t>Support configuration of a spatial relation between a reference DL RS from serving or neighbouring cells and the target SRS</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textAlignment w:val="baseline"/>
        <w:outlineLvl w:val="9"/>
        <w:rPr>
          <w:rFonts w:hint="default" w:eastAsia="宋体"/>
          <w:b/>
          <w:bCs/>
          <w:i/>
          <w:iCs/>
          <w:color w:val="auto"/>
          <w:sz w:val="20"/>
          <w:szCs w:val="20"/>
          <w:highlight w:val="none"/>
          <w:lang w:val="en-US" w:eastAsia="zh-CN"/>
        </w:rPr>
      </w:pPr>
      <w:r>
        <w:rPr>
          <w:rFonts w:hint="eastAsia"/>
          <w:b/>
          <w:bCs/>
          <w:i/>
          <w:iCs/>
          <w:color w:val="auto"/>
          <w:sz w:val="20"/>
          <w:szCs w:val="20"/>
          <w:highlight w:val="none"/>
          <w:lang w:val="en-US" w:eastAsia="zh-CN"/>
        </w:rPr>
        <w:t>SSB and periodic CSI-RS can be the source of spatial relation.</w:t>
      </w:r>
    </w:p>
    <w:p>
      <w:pPr>
        <w:pStyle w:val="3"/>
        <w:pageBreakBefore w:val="0"/>
        <w:widowControl w:val="0"/>
        <w:pBdr>
          <w:top w:val="none" w:color="auto" w:sz="0" w:space="0"/>
        </w:pBdr>
        <w:kinsoku/>
        <w:wordWrap/>
        <w:overflowPunct/>
        <w:topLinePunct w:val="0"/>
        <w:bidi w:val="0"/>
        <w:snapToGrid w:val="0"/>
        <w:spacing w:before="260" w:after="260" w:line="240" w:lineRule="auto"/>
        <w:jc w:val="left"/>
        <w:textAlignment w:val="auto"/>
        <w:rPr>
          <w:rFonts w:hint="default" w:eastAsia="黑体" w:cs="Arial"/>
          <w:iCs w:val="0"/>
          <w:sz w:val="21"/>
          <w:szCs w:val="21"/>
          <w:lang w:val="en-US" w:eastAsia="zh-CN"/>
        </w:rPr>
      </w:pPr>
      <w:r>
        <w:rPr>
          <w:rFonts w:hint="eastAsia" w:eastAsia="黑体" w:cs="Arial"/>
          <w:iCs w:val="0"/>
          <w:sz w:val="21"/>
          <w:szCs w:val="21"/>
          <w:lang w:val="en-US" w:eastAsia="en-GB"/>
        </w:rPr>
        <w:t>Measurement/reporting</w:t>
      </w:r>
      <w:r>
        <w:rPr>
          <w:rFonts w:hint="eastAsia" w:eastAsia="黑体" w:cs="Arial"/>
          <w:iCs w:val="0"/>
          <w:sz w:val="21"/>
          <w:szCs w:val="21"/>
          <w:lang w:val="en-US" w:eastAsia="zh-CN"/>
        </w:rPr>
        <w:t xml:space="preserve"> for DL PRS</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rFonts w:hint="eastAsia" w:eastAsia="宋体"/>
          <w:i w:val="0"/>
          <w:iCs w:val="0"/>
          <w:color w:val="auto"/>
          <w:sz w:val="20"/>
          <w:szCs w:val="20"/>
          <w:highlight w:val="none"/>
          <w:u w:val="none"/>
          <w:lang w:val="en-US" w:eastAsia="zh-CN"/>
        </w:rPr>
      </w:pPr>
      <w:r>
        <w:rPr>
          <w:rFonts w:hint="eastAsia" w:eastAsia="宋体"/>
          <w:i w:val="0"/>
          <w:iCs w:val="0"/>
          <w:color w:val="auto"/>
          <w:sz w:val="20"/>
          <w:szCs w:val="20"/>
          <w:highlight w:val="none"/>
          <w:u w:val="none"/>
          <w:lang w:val="en-US" w:eastAsia="zh-CN"/>
        </w:rPr>
        <w:t>In RAN1#96bis meeting, the following agreement was achieved for intra-frequency measurements</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u w:val="single"/>
        </w:rPr>
      </w:pPr>
      <w:r>
        <w:rPr>
          <w:i/>
          <w:iCs/>
          <w:color w:val="auto"/>
          <w:sz w:val="20"/>
          <w:szCs w:val="20"/>
          <w:highlight w:val="none"/>
          <w:u w:val="single"/>
        </w:rPr>
        <w:t>Agreement:</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rPr>
      </w:pPr>
      <w:r>
        <w:rPr>
          <w:i/>
          <w:iCs/>
          <w:color w:val="auto"/>
          <w:sz w:val="20"/>
          <w:szCs w:val="20"/>
          <w:highlight w:val="none"/>
        </w:rPr>
        <w:t>For intra-frequency measurements:</w:t>
      </w:r>
    </w:p>
    <w:p>
      <w:pPr>
        <w:keepNext w:val="0"/>
        <w:keepLines w:val="0"/>
        <w:pageBreakBefore w:val="0"/>
        <w:widowControl/>
        <w:numPr>
          <w:ilvl w:val="0"/>
          <w:numId w:val="10"/>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rPr>
      </w:pPr>
      <w:r>
        <w:rPr>
          <w:i/>
          <w:iCs/>
          <w:color w:val="auto"/>
          <w:sz w:val="20"/>
          <w:szCs w:val="20"/>
          <w:highlight w:val="none"/>
        </w:rPr>
        <w:t>The UE is expected to measure the DL PRS resource outside the active DL BWP or with a numerology different from the numerology of the active DL BWP if the measurement is made during a configured measurement gap.</w:t>
      </w:r>
    </w:p>
    <w:p>
      <w:pPr>
        <w:keepNext w:val="0"/>
        <w:keepLines w:val="0"/>
        <w:pageBreakBefore w:val="0"/>
        <w:widowControl/>
        <w:numPr>
          <w:ilvl w:val="1"/>
          <w:numId w:val="10"/>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rPr>
      </w:pPr>
      <w:r>
        <w:rPr>
          <w:i/>
          <w:iCs/>
          <w:color w:val="auto"/>
          <w:sz w:val="20"/>
          <w:szCs w:val="20"/>
          <w:highlight w:val="none"/>
        </w:rPr>
        <w:t>Select from one of the following options for the measurement bandwidth</w:t>
      </w:r>
    </w:p>
    <w:p>
      <w:pPr>
        <w:keepNext w:val="0"/>
        <w:keepLines w:val="0"/>
        <w:pageBreakBefore w:val="0"/>
        <w:widowControl/>
        <w:numPr>
          <w:ilvl w:val="2"/>
          <w:numId w:val="10"/>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rPr>
      </w:pPr>
      <w:r>
        <w:rPr>
          <w:i/>
          <w:iCs/>
          <w:color w:val="auto"/>
          <w:sz w:val="20"/>
          <w:szCs w:val="20"/>
          <w:highlight w:val="none"/>
        </w:rPr>
        <w:t>Option 1: The UE measurement is within the DL BWP configuration</w:t>
      </w:r>
    </w:p>
    <w:p>
      <w:pPr>
        <w:keepNext w:val="0"/>
        <w:keepLines w:val="0"/>
        <w:pageBreakBefore w:val="0"/>
        <w:widowControl/>
        <w:numPr>
          <w:ilvl w:val="2"/>
          <w:numId w:val="10"/>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rPr>
      </w:pPr>
      <w:r>
        <w:rPr>
          <w:i/>
          <w:iCs/>
          <w:color w:val="auto"/>
          <w:sz w:val="20"/>
          <w:szCs w:val="20"/>
          <w:highlight w:val="none"/>
        </w:rPr>
        <w:t>Option 2: The UE can measure outside the DL BWP configuration</w:t>
      </w:r>
    </w:p>
    <w:p>
      <w:pPr>
        <w:keepNext w:val="0"/>
        <w:keepLines w:val="0"/>
        <w:pageBreakBefore w:val="0"/>
        <w:widowControl/>
        <w:numPr>
          <w:ilvl w:val="1"/>
          <w:numId w:val="10"/>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rPr>
      </w:pPr>
      <w:r>
        <w:rPr>
          <w:i/>
          <w:iCs/>
          <w:color w:val="auto"/>
          <w:sz w:val="20"/>
          <w:szCs w:val="20"/>
          <w:highlight w:val="none"/>
        </w:rPr>
        <w:t xml:space="preserve">FFS: Scenarios when measurements gaps would need to be configured. </w:t>
      </w:r>
    </w:p>
    <w:p>
      <w:pPr>
        <w:keepNext w:val="0"/>
        <w:keepLines w:val="0"/>
        <w:pageBreakBefore w:val="0"/>
        <w:widowControl/>
        <w:numPr>
          <w:ilvl w:val="0"/>
          <w:numId w:val="10"/>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rPr>
      </w:pPr>
      <w:r>
        <w:rPr>
          <w:i/>
          <w:iCs/>
          <w:color w:val="auto"/>
          <w:sz w:val="20"/>
          <w:szCs w:val="20"/>
          <w:highlight w:val="none"/>
        </w:rPr>
        <w:t>When not configured with a measurement gap, the UE is only required to measure DL PRS within the active DL BWP and with the same numerology as the active DL BWP.</w:t>
      </w:r>
    </w:p>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outlineLvl w:val="9"/>
        <w:rPr>
          <w:rFonts w:hint="eastAsia" w:eastAsia="宋体"/>
          <w:b w:val="0"/>
          <w:bCs w:val="0"/>
          <w:i w:val="0"/>
          <w:iCs w:val="0"/>
          <w:color w:val="auto"/>
          <w:sz w:val="20"/>
          <w:szCs w:val="20"/>
          <w:highlight w:val="none"/>
          <w:lang w:val="en-US" w:eastAsia="zh-CN"/>
        </w:rPr>
      </w:pPr>
      <w:r>
        <w:rPr>
          <w:rFonts w:hint="eastAsia" w:eastAsia="宋体"/>
          <w:b w:val="0"/>
          <w:bCs w:val="0"/>
          <w:i w:val="0"/>
          <w:iCs w:val="0"/>
          <w:color w:val="auto"/>
          <w:sz w:val="20"/>
          <w:szCs w:val="20"/>
          <w:highlight w:val="none"/>
          <w:lang w:val="en-US" w:eastAsia="zh-CN"/>
        </w:rPr>
        <w:t>The simulation results of the TR [2] has already proved the tight relationship between the bandwidth and positioning accuracy, even with the full bandwidth, the commercial requirement could only be achieved under perfect synchronization situation by most companies</w:t>
      </w:r>
      <w:r>
        <w:rPr>
          <w:rFonts w:hint="default" w:eastAsia="宋体"/>
          <w:b w:val="0"/>
          <w:bCs w:val="0"/>
          <w:i w:val="0"/>
          <w:iCs w:val="0"/>
          <w:color w:val="auto"/>
          <w:sz w:val="20"/>
          <w:szCs w:val="20"/>
          <w:highlight w:val="none"/>
          <w:lang w:val="en-US" w:eastAsia="zh-CN"/>
        </w:rPr>
        <w:t>’</w:t>
      </w:r>
      <w:r>
        <w:rPr>
          <w:rFonts w:hint="eastAsia" w:eastAsia="宋体"/>
          <w:b w:val="0"/>
          <w:bCs w:val="0"/>
          <w:i w:val="0"/>
          <w:iCs w:val="0"/>
          <w:color w:val="auto"/>
          <w:sz w:val="20"/>
          <w:szCs w:val="20"/>
          <w:highlight w:val="none"/>
          <w:lang w:val="en-US" w:eastAsia="zh-CN"/>
        </w:rPr>
        <w:t xml:space="preserve"> simulation. So a basic respect to our target requirement is that if the UE supports larger bandwidth, we do not restrict its desire to pursue better performance as long as the UE supports it. BWP is not something that designed to limit UE</w:t>
      </w:r>
      <w:r>
        <w:rPr>
          <w:rFonts w:hint="default" w:eastAsia="宋体"/>
          <w:b w:val="0"/>
          <w:bCs w:val="0"/>
          <w:i w:val="0"/>
          <w:iCs w:val="0"/>
          <w:color w:val="auto"/>
          <w:sz w:val="20"/>
          <w:szCs w:val="20"/>
          <w:highlight w:val="none"/>
          <w:lang w:val="en-US" w:eastAsia="zh-CN"/>
        </w:rPr>
        <w:t>’</w:t>
      </w:r>
      <w:r>
        <w:rPr>
          <w:rFonts w:hint="eastAsia" w:eastAsia="宋体"/>
          <w:b w:val="0"/>
          <w:bCs w:val="0"/>
          <w:i w:val="0"/>
          <w:iCs w:val="0"/>
          <w:color w:val="auto"/>
          <w:sz w:val="20"/>
          <w:szCs w:val="20"/>
          <w:highlight w:val="none"/>
          <w:lang w:val="en-US" w:eastAsia="zh-CN"/>
        </w:rPr>
        <w:t>s ability, it is supposed to match the UE</w:t>
      </w:r>
      <w:r>
        <w:rPr>
          <w:rFonts w:hint="default" w:eastAsia="宋体"/>
          <w:b w:val="0"/>
          <w:bCs w:val="0"/>
          <w:i w:val="0"/>
          <w:iCs w:val="0"/>
          <w:color w:val="auto"/>
          <w:sz w:val="20"/>
          <w:szCs w:val="20"/>
          <w:highlight w:val="none"/>
          <w:lang w:val="en-US" w:eastAsia="zh-CN"/>
        </w:rPr>
        <w:t>’</w:t>
      </w:r>
      <w:r>
        <w:rPr>
          <w:rFonts w:hint="eastAsia" w:eastAsia="宋体"/>
          <w:b w:val="0"/>
          <w:bCs w:val="0"/>
          <w:i w:val="0"/>
          <w:iCs w:val="0"/>
          <w:color w:val="auto"/>
          <w:sz w:val="20"/>
          <w:szCs w:val="20"/>
          <w:highlight w:val="none"/>
          <w:lang w:val="en-US" w:eastAsia="zh-CN"/>
        </w:rPr>
        <w:t>s requirement and positioning is of course a service that would require wider bandwidth, the gNB can reconfigure BWP to fulfill UE</w:t>
      </w:r>
      <w:r>
        <w:rPr>
          <w:rFonts w:hint="default" w:eastAsia="宋体"/>
          <w:b w:val="0"/>
          <w:bCs w:val="0"/>
          <w:i w:val="0"/>
          <w:iCs w:val="0"/>
          <w:color w:val="auto"/>
          <w:sz w:val="20"/>
          <w:szCs w:val="20"/>
          <w:highlight w:val="none"/>
          <w:lang w:val="en-US" w:eastAsia="zh-CN"/>
        </w:rPr>
        <w:t>’</w:t>
      </w:r>
      <w:r>
        <w:rPr>
          <w:rFonts w:hint="eastAsia" w:eastAsia="宋体"/>
          <w:b w:val="0"/>
          <w:bCs w:val="0"/>
          <w:i w:val="0"/>
          <w:iCs w:val="0"/>
          <w:color w:val="auto"/>
          <w:sz w:val="20"/>
          <w:szCs w:val="20"/>
          <w:highlight w:val="none"/>
          <w:lang w:val="en-US" w:eastAsia="zh-CN"/>
        </w:rPr>
        <w:t>s positioning accuracy requirement. So we can see no reason to be bothered with UE</w:t>
      </w:r>
      <w:r>
        <w:rPr>
          <w:rFonts w:hint="default" w:eastAsia="宋体"/>
          <w:b w:val="0"/>
          <w:bCs w:val="0"/>
          <w:i w:val="0"/>
          <w:iCs w:val="0"/>
          <w:color w:val="auto"/>
          <w:sz w:val="20"/>
          <w:szCs w:val="20"/>
          <w:highlight w:val="none"/>
          <w:lang w:val="en-US" w:eastAsia="zh-CN"/>
        </w:rPr>
        <w:t>’</w:t>
      </w:r>
      <w:r>
        <w:rPr>
          <w:rFonts w:hint="eastAsia" w:eastAsia="宋体"/>
          <w:b w:val="0"/>
          <w:bCs w:val="0"/>
          <w:i w:val="0"/>
          <w:iCs w:val="0"/>
          <w:color w:val="auto"/>
          <w:sz w:val="20"/>
          <w:szCs w:val="20"/>
          <w:highlight w:val="none"/>
          <w:lang w:val="en-US" w:eastAsia="zh-CN"/>
        </w:rPr>
        <w:t>s BWP configuration before LCS need.</w:t>
      </w:r>
    </w:p>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outlineLvl w:val="9"/>
        <w:rPr>
          <w:rFonts w:hint="default" w:eastAsia="宋体"/>
          <w:b w:val="0"/>
          <w:bCs w:val="0"/>
          <w:i w:val="0"/>
          <w:iCs w:val="0"/>
          <w:color w:val="auto"/>
          <w:sz w:val="20"/>
          <w:szCs w:val="20"/>
          <w:highlight w:val="none"/>
          <w:lang w:val="en-US" w:eastAsia="zh-CN"/>
        </w:rPr>
      </w:pPr>
      <w:r>
        <w:rPr>
          <w:rFonts w:hint="eastAsia" w:eastAsia="宋体"/>
          <w:b w:val="0"/>
          <w:bCs w:val="0"/>
          <w:i w:val="0"/>
          <w:iCs w:val="0"/>
          <w:color w:val="auto"/>
          <w:sz w:val="20"/>
          <w:szCs w:val="20"/>
          <w:highlight w:val="none"/>
          <w:lang w:val="en-US" w:eastAsia="zh-CN"/>
        </w:rPr>
        <w:t>Measurement has been supported since LTE and was discussed in Rel 15 NR positioning to support inter-frequency RSRD measurement, so that RDOA positioning can still work when neighbour TRPs are not all at the same frequency, which is very common when PRS-only TP is involved. That is to say even in order to support PRS-only TP as supplementary, RSTD measurements beyond BWP configuration is necessary.</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textAlignment w:val="baseline"/>
        <w:outlineLvl w:val="9"/>
        <w:rPr>
          <w:rFonts w:hint="eastAsia" w:eastAsia="宋体"/>
          <w:b/>
          <w:bCs/>
          <w:i/>
          <w:iCs/>
          <w:color w:val="auto"/>
          <w:sz w:val="20"/>
          <w:szCs w:val="20"/>
          <w:highlight w:val="none"/>
          <w:lang w:val="en-US" w:eastAsia="zh-CN"/>
        </w:rPr>
      </w:pPr>
      <w:r>
        <w:rPr>
          <w:rFonts w:hint="eastAsia"/>
          <w:b/>
          <w:bCs/>
          <w:i/>
          <w:iCs/>
          <w:color w:val="auto"/>
          <w:sz w:val="20"/>
          <w:szCs w:val="20"/>
          <w:highlight w:val="none"/>
          <w:lang w:val="en-US" w:eastAsia="zh-CN"/>
        </w:rPr>
        <w:t>Proposal 3: I</w:t>
      </w:r>
      <w:r>
        <w:rPr>
          <w:b/>
          <w:bCs/>
          <w:i/>
          <w:iCs/>
          <w:color w:val="auto"/>
          <w:sz w:val="20"/>
          <w:szCs w:val="20"/>
          <w:highlight w:val="none"/>
        </w:rPr>
        <w:t>f the measurement is made during a configured measurement gap</w:t>
      </w:r>
      <w:r>
        <w:rPr>
          <w:rFonts w:hint="eastAsia" w:eastAsia="宋体"/>
          <w:b/>
          <w:bCs/>
          <w:i/>
          <w:iCs/>
          <w:color w:val="auto"/>
          <w:sz w:val="20"/>
          <w:szCs w:val="20"/>
          <w:highlight w:val="none"/>
          <w:lang w:val="en-US" w:eastAsia="zh-CN"/>
        </w:rPr>
        <w:t>, t</w:t>
      </w:r>
      <w:r>
        <w:rPr>
          <w:b/>
          <w:bCs/>
          <w:i/>
          <w:iCs/>
          <w:color w:val="auto"/>
          <w:sz w:val="20"/>
          <w:szCs w:val="20"/>
          <w:highlight w:val="none"/>
        </w:rPr>
        <w:t>he UE can measure outside the DL BWP configuration</w:t>
      </w:r>
      <w:r>
        <w:rPr>
          <w:rFonts w:hint="eastAsia" w:eastAsia="宋体"/>
          <w:b/>
          <w:bCs/>
          <w:i/>
          <w:iCs/>
          <w:color w:val="auto"/>
          <w:sz w:val="20"/>
          <w:szCs w:val="20"/>
          <w:highlight w:val="none"/>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textAlignment w:val="baseline"/>
        <w:outlineLvl w:val="9"/>
        <w:rPr>
          <w:rFonts w:hint="default"/>
          <w:i/>
          <w:iCs/>
          <w:color w:val="auto"/>
          <w:sz w:val="20"/>
          <w:szCs w:val="20"/>
          <w:highlight w:val="none"/>
          <w:lang w:val="en-US" w:eastAsia="zh-CN"/>
        </w:rPr>
      </w:pPr>
    </w:p>
    <w:p>
      <w:pPr>
        <w:pStyle w:val="3"/>
        <w:pageBreakBefore w:val="0"/>
        <w:widowControl w:val="0"/>
        <w:pBdr>
          <w:top w:val="none" w:color="auto" w:sz="0" w:space="0"/>
        </w:pBdr>
        <w:kinsoku/>
        <w:wordWrap/>
        <w:overflowPunct/>
        <w:topLinePunct w:val="0"/>
        <w:bidi w:val="0"/>
        <w:snapToGrid w:val="0"/>
        <w:spacing w:before="260" w:after="260" w:line="240" w:lineRule="auto"/>
        <w:jc w:val="left"/>
        <w:textAlignment w:val="auto"/>
        <w:rPr>
          <w:rFonts w:hint="default" w:ascii="Arial" w:hAnsi="Arial" w:eastAsia="黑体" w:cs="Arial"/>
          <w:iCs w:val="0"/>
          <w:sz w:val="21"/>
          <w:szCs w:val="21"/>
          <w:lang w:val="en-US" w:eastAsia="zh-CN"/>
        </w:rPr>
      </w:pPr>
      <w:r>
        <w:rPr>
          <w:rFonts w:hint="eastAsia" w:eastAsia="黑体" w:cs="Arial"/>
          <w:iCs w:val="0"/>
          <w:sz w:val="21"/>
          <w:szCs w:val="21"/>
          <w:lang w:val="en-US" w:eastAsia="zh-CN"/>
        </w:rPr>
        <w:t xml:space="preserve">SRS Power control </w:t>
      </w:r>
    </w:p>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outlineLvl w:val="9"/>
        <w:rPr>
          <w:rFonts w:hint="default" w:eastAsia="宋体"/>
          <w:b w:val="0"/>
          <w:bCs w:val="0"/>
          <w:i w:val="0"/>
          <w:iCs w:val="0"/>
          <w:color w:val="auto"/>
          <w:sz w:val="20"/>
          <w:szCs w:val="20"/>
          <w:highlight w:val="none"/>
          <w:lang w:val="en-US" w:eastAsia="zh-CN"/>
        </w:rPr>
      </w:pPr>
      <w:r>
        <w:rPr>
          <w:rFonts w:hint="eastAsia" w:eastAsia="宋体"/>
          <w:b w:val="0"/>
          <w:bCs w:val="0"/>
          <w:i w:val="0"/>
          <w:iCs w:val="0"/>
          <w:color w:val="auto"/>
          <w:sz w:val="20"/>
          <w:szCs w:val="20"/>
          <w:highlight w:val="none"/>
          <w:lang w:val="en-US" w:eastAsia="zh-CN"/>
        </w:rPr>
        <w:t>Several options were listed in the agreement of last RAN1 meeting:</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u w:val="single"/>
          <w:lang w:val="en-US"/>
        </w:rPr>
      </w:pPr>
      <w:r>
        <w:rPr>
          <w:i/>
          <w:iCs/>
          <w:color w:val="auto"/>
          <w:sz w:val="20"/>
          <w:szCs w:val="20"/>
          <w:highlight w:val="none"/>
          <w:u w:val="single"/>
          <w:lang w:val="en-US"/>
        </w:rPr>
        <w:t>Agreement:</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rPr>
      </w:pPr>
      <w:r>
        <w:rPr>
          <w:i/>
          <w:iCs/>
          <w:color w:val="auto"/>
          <w:sz w:val="20"/>
          <w:szCs w:val="20"/>
          <w:highlight w:val="none"/>
          <w:lang w:val="en-US"/>
        </w:rPr>
        <w:t xml:space="preserve">For positioning purposes, with regards to the </w:t>
      </w:r>
      <w:r>
        <w:rPr>
          <w:bCs/>
          <w:i/>
          <w:iCs/>
          <w:color w:val="auto"/>
          <w:sz w:val="20"/>
          <w:szCs w:val="20"/>
          <w:highlight w:val="none"/>
          <w:lang w:val="en-US"/>
        </w:rPr>
        <w:t>UL SRS transmission power</w:t>
      </w:r>
      <w:r>
        <w:rPr>
          <w:i/>
          <w:iCs/>
          <w:color w:val="auto"/>
          <w:sz w:val="20"/>
          <w:szCs w:val="20"/>
          <w:highlight w:val="none"/>
          <w:lang w:val="en-US"/>
        </w:rPr>
        <w:t>, at least the following options have been identified:</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lang w:val="en-US"/>
        </w:rPr>
      </w:pPr>
      <w:r>
        <w:rPr>
          <w:i/>
          <w:iCs/>
          <w:color w:val="auto"/>
          <w:sz w:val="20"/>
          <w:szCs w:val="20"/>
          <w:highlight w:val="none"/>
          <w:lang w:val="en-US"/>
        </w:rPr>
        <w:t xml:space="preserve">Option 1: The UL SRS Tx power is constant (i.e., no power control is supported). </w:t>
      </w:r>
    </w:p>
    <w:p>
      <w:pPr>
        <w:keepNext w:val="0"/>
        <w:keepLines w:val="0"/>
        <w:pageBreakBefore w:val="0"/>
        <w:widowControl/>
        <w:numPr>
          <w:ilvl w:val="1"/>
          <w:numId w:val="11"/>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lang w:val="en-US"/>
        </w:rPr>
      </w:pPr>
      <w:r>
        <w:rPr>
          <w:i/>
          <w:iCs/>
          <w:color w:val="auto"/>
          <w:sz w:val="20"/>
          <w:szCs w:val="20"/>
          <w:highlight w:val="none"/>
          <w:lang w:val="en-US"/>
        </w:rPr>
        <w:t>FFS: The value of the constant Tx power and how it is determined</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lang w:val="en-US"/>
        </w:rPr>
      </w:pPr>
      <w:r>
        <w:rPr>
          <w:i/>
          <w:iCs/>
          <w:color w:val="auto"/>
          <w:sz w:val="20"/>
          <w:szCs w:val="20"/>
          <w:highlight w:val="none"/>
          <w:lang w:val="en-US"/>
        </w:rPr>
        <w:t>Option 2: The UL SRS Tx power is based on the existing power control procedure.</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lang w:val="en-US"/>
        </w:rPr>
      </w:pPr>
      <w:r>
        <w:rPr>
          <w:i/>
          <w:iCs/>
          <w:color w:val="auto"/>
          <w:sz w:val="20"/>
          <w:szCs w:val="20"/>
          <w:highlight w:val="none"/>
          <w:lang w:val="en-US"/>
        </w:rPr>
        <w:t>Option 3: The UL SRS Tx power is determined by modifying the existing power control procedure, for example:</w:t>
      </w:r>
    </w:p>
    <w:p>
      <w:pPr>
        <w:keepNext w:val="0"/>
        <w:keepLines w:val="0"/>
        <w:pageBreakBefore w:val="0"/>
        <w:widowControl/>
        <w:numPr>
          <w:ilvl w:val="1"/>
          <w:numId w:val="11"/>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lang w:val="en-US"/>
        </w:rPr>
      </w:pPr>
      <w:r>
        <w:rPr>
          <w:i/>
          <w:iCs/>
          <w:color w:val="auto"/>
          <w:sz w:val="20"/>
          <w:szCs w:val="20"/>
          <w:highlight w:val="none"/>
          <w:lang w:val="en-US"/>
        </w:rPr>
        <w:t xml:space="preserve">Support configuring a DL reference signal of a neighboring cell to be used for SRS path loss estimation. </w:t>
      </w:r>
    </w:p>
    <w:p>
      <w:pPr>
        <w:keepNext w:val="0"/>
        <w:keepLines w:val="0"/>
        <w:pageBreakBefore w:val="0"/>
        <w:widowControl/>
        <w:numPr>
          <w:ilvl w:val="2"/>
          <w:numId w:val="11"/>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lang w:val="en-US"/>
        </w:rPr>
      </w:pPr>
      <w:r>
        <w:rPr>
          <w:i/>
          <w:iCs/>
          <w:color w:val="auto"/>
          <w:sz w:val="20"/>
          <w:szCs w:val="20"/>
          <w:highlight w:val="none"/>
          <w:lang w:val="en-US"/>
        </w:rPr>
        <w:t>FFS: Which reference signals can be used (e.g. a CSI-RS, or a SSB, or DL PRS).</w:t>
      </w:r>
    </w:p>
    <w:p>
      <w:pPr>
        <w:keepNext w:val="0"/>
        <w:keepLines w:val="0"/>
        <w:pageBreakBefore w:val="0"/>
        <w:widowControl/>
        <w:numPr>
          <w:ilvl w:val="1"/>
          <w:numId w:val="11"/>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lang w:val="en-US"/>
        </w:rPr>
      </w:pPr>
      <w:r>
        <w:rPr>
          <w:i/>
          <w:iCs/>
          <w:color w:val="auto"/>
          <w:sz w:val="20"/>
          <w:szCs w:val="20"/>
          <w:highlight w:val="none"/>
          <w:lang w:val="en-US"/>
        </w:rPr>
        <w:t>FFS: which power control modes are supported (e.g., open loop only, or open loop and closed loop).</w:t>
      </w:r>
    </w:p>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outlineLvl w:val="9"/>
        <w:rPr>
          <w:rFonts w:hint="eastAsia" w:eastAsia="宋体"/>
          <w:b w:val="0"/>
          <w:bCs w:val="0"/>
          <w:i w:val="0"/>
          <w:iCs w:val="0"/>
          <w:color w:val="auto"/>
          <w:sz w:val="20"/>
          <w:szCs w:val="20"/>
          <w:highlight w:val="none"/>
          <w:lang w:val="en-US" w:eastAsia="zh-CN"/>
        </w:rPr>
      </w:pPr>
      <w:r>
        <w:rPr>
          <w:rFonts w:hint="eastAsia" w:eastAsia="宋体"/>
          <w:b w:val="0"/>
          <w:bCs w:val="0"/>
          <w:i w:val="0"/>
          <w:iCs w:val="0"/>
          <w:color w:val="auto"/>
          <w:sz w:val="20"/>
          <w:szCs w:val="20"/>
          <w:highlight w:val="none"/>
          <w:lang w:val="en-US" w:eastAsia="zh-CN"/>
        </w:rPr>
        <w:t>As always analyzed in our companion paper [3], the option 1 can only cause either power waste with interference to neighbour cells or poor TOA measurements accuracy because a constant power could not be suitable for both near cells and remote neighbour cells at the same time. For option 2, the situation is similar as option 1, existing power control procedure can provide reasonable power adjustment for serving cell, but not for neighbour cells. For UL TDOA positioning, different Tx beams from UE aim at different transmission measurement function points, so they should have different powers, which could supported by option 3.</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textAlignment w:val="baseline"/>
        <w:outlineLvl w:val="9"/>
        <w:rPr>
          <w:b/>
          <w:bCs/>
          <w:i/>
          <w:iCs/>
          <w:color w:val="auto"/>
          <w:sz w:val="20"/>
          <w:szCs w:val="20"/>
          <w:highlight w:val="none"/>
          <w:lang w:val="en-US"/>
        </w:rPr>
      </w:pPr>
      <w:r>
        <w:rPr>
          <w:rFonts w:hint="eastAsia" w:eastAsia="宋体"/>
          <w:b/>
          <w:bCs/>
          <w:i/>
          <w:iCs/>
          <w:color w:val="auto"/>
          <w:sz w:val="20"/>
          <w:szCs w:val="20"/>
          <w:highlight w:val="none"/>
          <w:lang w:val="en-US" w:eastAsia="zh-CN"/>
        </w:rPr>
        <w:t xml:space="preserve">Proposal 4: </w:t>
      </w:r>
      <w:r>
        <w:rPr>
          <w:b/>
          <w:bCs/>
          <w:i/>
          <w:iCs/>
          <w:color w:val="auto"/>
          <w:sz w:val="20"/>
          <w:szCs w:val="20"/>
          <w:highlight w:val="none"/>
          <w:lang w:val="en-US"/>
        </w:rPr>
        <w:t>The UL SRS Tx power is determined by modifying the existing power control procedure, for example:</w:t>
      </w:r>
    </w:p>
    <w:p>
      <w:pPr>
        <w:keepNext w:val="0"/>
        <w:keepLines w:val="0"/>
        <w:pageBreakBefore w:val="0"/>
        <w:widowControl/>
        <w:numPr>
          <w:ilvl w:val="0"/>
          <w:numId w:val="11"/>
        </w:numPr>
        <w:tabs>
          <w:tab w:val="left" w:pos="1440"/>
          <w:tab w:val="clear" w:pos="720"/>
        </w:tabs>
        <w:kinsoku/>
        <w:wordWrap/>
        <w:overflowPunct w:val="0"/>
        <w:topLinePunct w:val="0"/>
        <w:autoSpaceDE w:val="0"/>
        <w:autoSpaceDN w:val="0"/>
        <w:bidi w:val="0"/>
        <w:adjustRightInd w:val="0"/>
        <w:snapToGrid w:val="0"/>
        <w:spacing w:after="0" w:line="240" w:lineRule="auto"/>
        <w:ind w:left="720"/>
        <w:textAlignment w:val="baseline"/>
        <w:outlineLvl w:val="9"/>
        <w:rPr>
          <w:rFonts w:hint="default" w:eastAsia="宋体"/>
          <w:b/>
          <w:bCs/>
          <w:i/>
          <w:iCs/>
          <w:color w:val="auto"/>
          <w:sz w:val="20"/>
          <w:szCs w:val="20"/>
          <w:highlight w:val="none"/>
          <w:lang w:val="en-US" w:eastAsia="zh-CN"/>
        </w:rPr>
      </w:pPr>
      <w:r>
        <w:rPr>
          <w:b/>
          <w:bCs/>
          <w:i/>
          <w:iCs/>
          <w:color w:val="auto"/>
          <w:sz w:val="20"/>
          <w:szCs w:val="20"/>
          <w:highlight w:val="none"/>
          <w:lang w:val="en-US"/>
        </w:rPr>
        <w:t xml:space="preserve">Support configuring a DL reference signal of a neighboring cell to be used for SRS path loss estimation. </w:t>
      </w:r>
    </w:p>
    <w:p>
      <w:pPr>
        <w:pStyle w:val="3"/>
        <w:pageBreakBefore w:val="0"/>
        <w:widowControl w:val="0"/>
        <w:pBdr>
          <w:top w:val="none" w:color="auto" w:sz="0" w:space="0"/>
        </w:pBdr>
        <w:kinsoku/>
        <w:wordWrap/>
        <w:overflowPunct/>
        <w:topLinePunct w:val="0"/>
        <w:bidi w:val="0"/>
        <w:snapToGrid w:val="0"/>
        <w:spacing w:before="260" w:after="260" w:line="240" w:lineRule="auto"/>
        <w:jc w:val="left"/>
        <w:textAlignment w:val="auto"/>
        <w:rPr>
          <w:rFonts w:hint="default" w:ascii="Arial" w:hAnsi="Arial" w:eastAsia="黑体" w:cs="Arial"/>
          <w:iCs w:val="0"/>
          <w:sz w:val="21"/>
          <w:szCs w:val="21"/>
          <w:lang w:val="en-US" w:eastAsia="zh-CN"/>
        </w:rPr>
      </w:pPr>
      <w:r>
        <w:rPr>
          <w:rFonts w:hint="eastAsia" w:eastAsia="黑体" w:cs="Arial"/>
          <w:iCs w:val="0"/>
          <w:sz w:val="21"/>
          <w:szCs w:val="21"/>
          <w:lang w:val="en-US" w:eastAsia="zh-CN"/>
        </w:rPr>
        <w:t xml:space="preserve">TA </w:t>
      </w:r>
    </w:p>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outlineLvl w:val="9"/>
        <w:rPr>
          <w:rFonts w:hint="default" w:eastAsia="宋体"/>
          <w:b w:val="0"/>
          <w:bCs w:val="0"/>
          <w:i w:val="0"/>
          <w:iCs w:val="0"/>
          <w:color w:val="auto"/>
          <w:sz w:val="20"/>
          <w:szCs w:val="20"/>
          <w:highlight w:val="none"/>
          <w:lang w:val="en-US" w:eastAsia="zh-CN"/>
        </w:rPr>
      </w:pPr>
      <w:r>
        <w:rPr>
          <w:rFonts w:hint="eastAsia" w:eastAsia="宋体"/>
          <w:b w:val="0"/>
          <w:bCs w:val="0"/>
          <w:i w:val="0"/>
          <w:iCs w:val="0"/>
          <w:color w:val="auto"/>
          <w:sz w:val="20"/>
          <w:szCs w:val="20"/>
          <w:highlight w:val="none"/>
          <w:lang w:val="en-US" w:eastAsia="zh-CN"/>
        </w:rPr>
        <w:t>TA estimation problem was also discussed during last RAN1 meeting with the following options open:</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u w:val="single"/>
          <w:lang w:val="en-US"/>
        </w:rPr>
      </w:pPr>
      <w:r>
        <w:rPr>
          <w:i/>
          <w:iCs/>
          <w:color w:val="auto"/>
          <w:sz w:val="20"/>
          <w:szCs w:val="20"/>
          <w:highlight w:val="none"/>
          <w:u w:val="single"/>
          <w:lang w:val="en-US"/>
        </w:rPr>
        <w:t>Agreement:</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lang w:val="en-US"/>
        </w:rPr>
      </w:pPr>
      <w:r>
        <w:rPr>
          <w:i/>
          <w:iCs/>
          <w:color w:val="auto"/>
          <w:sz w:val="20"/>
          <w:szCs w:val="20"/>
          <w:highlight w:val="none"/>
          <w:lang w:val="en-US"/>
        </w:rPr>
        <w:t xml:space="preserve">For positioning purposes, with regard to the </w:t>
      </w:r>
      <w:r>
        <w:rPr>
          <w:bCs/>
          <w:i/>
          <w:iCs/>
          <w:color w:val="auto"/>
          <w:sz w:val="20"/>
          <w:szCs w:val="20"/>
          <w:highlight w:val="none"/>
          <w:lang w:val="en-US"/>
        </w:rPr>
        <w:t>UL SRS transmission timing</w:t>
      </w:r>
      <w:r>
        <w:rPr>
          <w:b/>
          <w:bCs/>
          <w:i/>
          <w:iCs/>
          <w:color w:val="auto"/>
          <w:sz w:val="20"/>
          <w:szCs w:val="20"/>
          <w:highlight w:val="none"/>
          <w:lang w:val="en-US"/>
        </w:rPr>
        <w:t>,</w:t>
      </w:r>
      <w:r>
        <w:rPr>
          <w:i/>
          <w:iCs/>
          <w:color w:val="auto"/>
          <w:sz w:val="20"/>
          <w:szCs w:val="20"/>
          <w:highlight w:val="none"/>
          <w:lang w:val="en-US"/>
        </w:rPr>
        <w:t xml:space="preserve"> at least the following options have been identified:</w:t>
      </w:r>
    </w:p>
    <w:p>
      <w:pPr>
        <w:keepNext w:val="0"/>
        <w:keepLines w:val="0"/>
        <w:pageBreakBefore w:val="0"/>
        <w:widowControl/>
        <w:numPr>
          <w:ilvl w:val="0"/>
          <w:numId w:val="12"/>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lang w:val="en-US"/>
        </w:rPr>
      </w:pPr>
      <w:r>
        <w:rPr>
          <w:i/>
          <w:iCs/>
          <w:color w:val="auto"/>
          <w:sz w:val="20"/>
          <w:szCs w:val="20"/>
          <w:highlight w:val="none"/>
          <w:lang w:val="en-US"/>
        </w:rPr>
        <w:t>Option 1: No adjustment is made to the configured TA. That is, support only a TA configuration which is based only on the serving cell (i.e., the TA value applied to the corresponding UL symbol is the same as the latest TA for regular UL symbols).</w:t>
      </w:r>
    </w:p>
    <w:p>
      <w:pPr>
        <w:keepNext w:val="0"/>
        <w:keepLines w:val="0"/>
        <w:pageBreakBefore w:val="0"/>
        <w:widowControl/>
        <w:numPr>
          <w:ilvl w:val="0"/>
          <w:numId w:val="12"/>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lang w:val="en-US"/>
        </w:rPr>
      </w:pPr>
      <w:r>
        <w:rPr>
          <w:i/>
          <w:iCs/>
          <w:color w:val="auto"/>
          <w:sz w:val="20"/>
          <w:szCs w:val="20"/>
          <w:highlight w:val="none"/>
          <w:lang w:val="en-US"/>
        </w:rPr>
        <w:t>Option 2:  The configured TA can be adjusted for the purpose of transmitting UL SRS intended to a neighboring cell. The adjustment value can be provided by the UE to the network upon request.</w:t>
      </w:r>
    </w:p>
    <w:p>
      <w:pPr>
        <w:keepNext w:val="0"/>
        <w:keepLines w:val="0"/>
        <w:pageBreakBefore w:val="0"/>
        <w:widowControl/>
        <w:numPr>
          <w:ilvl w:val="1"/>
          <w:numId w:val="12"/>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lang w:val="en-US"/>
        </w:rPr>
      </w:pPr>
      <w:r>
        <w:rPr>
          <w:i/>
          <w:iCs/>
          <w:color w:val="auto"/>
          <w:sz w:val="20"/>
          <w:szCs w:val="20"/>
          <w:highlight w:val="none"/>
          <w:lang w:val="en-US"/>
        </w:rPr>
        <w:t>Note: The adjustment value is not needed to be known at the measuring cell for the purpose of UL-AoA measurement</w:t>
      </w:r>
    </w:p>
    <w:p>
      <w:pPr>
        <w:keepNext w:val="0"/>
        <w:keepLines w:val="0"/>
        <w:pageBreakBefore w:val="0"/>
        <w:widowControl/>
        <w:numPr>
          <w:ilvl w:val="0"/>
          <w:numId w:val="12"/>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lang w:val="en-US"/>
        </w:rPr>
      </w:pPr>
      <w:r>
        <w:rPr>
          <w:i/>
          <w:iCs/>
          <w:color w:val="auto"/>
          <w:sz w:val="20"/>
          <w:szCs w:val="20"/>
          <w:highlight w:val="none"/>
          <w:lang w:val="en-US"/>
        </w:rPr>
        <w:t>Option 3: The configured TA can be adjusted for the purpose of transmitting UL SRS intended to a neighboring cell. The adjustment value is provided by the network to the UE.</w:t>
      </w:r>
    </w:p>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outlineLvl w:val="9"/>
        <w:rPr>
          <w:rFonts w:hint="eastAsia" w:eastAsia="宋体"/>
          <w:b w:val="0"/>
          <w:bCs w:val="0"/>
          <w:i w:val="0"/>
          <w:iCs w:val="0"/>
          <w:color w:val="auto"/>
          <w:sz w:val="20"/>
          <w:szCs w:val="20"/>
          <w:highlight w:val="none"/>
          <w:lang w:val="en-US" w:eastAsia="zh-CN"/>
        </w:rPr>
      </w:pPr>
      <w:r>
        <w:rPr>
          <w:rFonts w:hint="eastAsia" w:eastAsia="宋体"/>
          <w:b w:val="0"/>
          <w:bCs w:val="0"/>
          <w:i w:val="0"/>
          <w:iCs w:val="0"/>
          <w:color w:val="auto"/>
          <w:sz w:val="20"/>
          <w:szCs w:val="20"/>
          <w:highlight w:val="none"/>
          <w:lang w:val="en-US" w:eastAsia="zh-CN"/>
        </w:rPr>
        <w:t>Also in our companion paper [3] we explains without multi-TA the UL TDOA positioning can not work in FR2, so the option 1 should be precluded. As to option 2, we think it still refer to TA estimation from non-PRS RSTD measurement, which was already discussed and rejected by RAN 4 in previous release. So option 3 is the only feasible choice for us.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textAlignment w:val="baseline"/>
        <w:outlineLvl w:val="9"/>
        <w:rPr>
          <w:b/>
          <w:bCs/>
          <w:i/>
          <w:iCs/>
          <w:color w:val="auto"/>
          <w:sz w:val="20"/>
          <w:szCs w:val="20"/>
          <w:highlight w:val="none"/>
          <w:lang w:val="en-US"/>
        </w:rPr>
      </w:pPr>
      <w:r>
        <w:rPr>
          <w:rFonts w:hint="eastAsia" w:eastAsia="宋体"/>
          <w:b/>
          <w:bCs/>
          <w:i/>
          <w:iCs/>
          <w:color w:val="auto"/>
          <w:sz w:val="20"/>
          <w:szCs w:val="20"/>
          <w:highlight w:val="none"/>
          <w:lang w:val="en-US" w:eastAsia="zh-CN"/>
        </w:rPr>
        <w:t xml:space="preserve">Proposal 4: Support option 3: </w:t>
      </w:r>
      <w:r>
        <w:rPr>
          <w:b/>
          <w:bCs/>
          <w:i/>
          <w:iCs/>
          <w:color w:val="auto"/>
          <w:sz w:val="20"/>
          <w:szCs w:val="20"/>
          <w:highlight w:val="none"/>
          <w:lang w:val="en-US"/>
        </w:rPr>
        <w:t>The configured TA can be adjusted for the purpose of transmitting UL SRS intended to a neighboring cell. The adjustment value is provided by the network to the UE.</w:t>
      </w:r>
    </w:p>
    <w:p>
      <w:pPr>
        <w:pStyle w:val="3"/>
        <w:pageBreakBefore w:val="0"/>
        <w:widowControl w:val="0"/>
        <w:pBdr>
          <w:top w:val="none" w:color="auto" w:sz="0" w:space="0"/>
        </w:pBdr>
        <w:kinsoku/>
        <w:wordWrap/>
        <w:overflowPunct/>
        <w:topLinePunct w:val="0"/>
        <w:bidi w:val="0"/>
        <w:snapToGrid w:val="0"/>
        <w:spacing w:before="260" w:after="260" w:line="240" w:lineRule="auto"/>
        <w:jc w:val="left"/>
        <w:textAlignment w:val="auto"/>
        <w:rPr>
          <w:rFonts w:hint="eastAsia" w:eastAsia="黑体" w:cs="Arial"/>
          <w:iCs w:val="0"/>
          <w:sz w:val="21"/>
          <w:szCs w:val="21"/>
          <w:lang w:val="en-US" w:eastAsia="zh-CN"/>
        </w:rPr>
      </w:pPr>
      <w:r>
        <w:rPr>
          <w:rFonts w:hint="eastAsia" w:eastAsia="黑体" w:cs="Arial"/>
          <w:iCs w:val="0"/>
          <w:sz w:val="21"/>
          <w:szCs w:val="21"/>
          <w:lang w:val="en-US" w:eastAsia="zh-CN"/>
        </w:rPr>
        <w:t>PRS detection</w:t>
      </w:r>
    </w:p>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outlineLvl w:val="9"/>
        <w:rPr>
          <w:rFonts w:hint="default" w:eastAsia="宋体"/>
          <w:b w:val="0"/>
          <w:bCs w:val="0"/>
          <w:i w:val="0"/>
          <w:iCs w:val="0"/>
          <w:color w:val="auto"/>
          <w:sz w:val="20"/>
          <w:szCs w:val="20"/>
          <w:highlight w:val="none"/>
          <w:lang w:val="en-US" w:eastAsia="zh-CN"/>
        </w:rPr>
      </w:pPr>
      <w:r>
        <w:rPr>
          <w:rFonts w:hint="eastAsia" w:eastAsia="宋体"/>
          <w:b w:val="0"/>
          <w:bCs w:val="0"/>
          <w:i w:val="0"/>
          <w:iCs w:val="0"/>
          <w:color w:val="auto"/>
          <w:sz w:val="20"/>
          <w:szCs w:val="20"/>
          <w:highlight w:val="none"/>
          <w:lang w:val="en-US" w:eastAsia="zh-CN"/>
        </w:rPr>
        <w:t>An agreement about PRS detection was also achieved as follows: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textAlignment w:val="baseline"/>
        <w:outlineLvl w:val="9"/>
        <w:rPr>
          <w:rFonts w:hint="default" w:eastAsia="宋体"/>
          <w:i/>
          <w:iCs/>
          <w:color w:val="auto"/>
          <w:sz w:val="20"/>
          <w:szCs w:val="20"/>
          <w:highlight w:val="none"/>
          <w:lang w:val="en-US" w:eastAsia="zh-CN"/>
        </w:rPr>
      </w:pPr>
      <w:r>
        <w:rPr>
          <w:rFonts w:hint="eastAsia" w:eastAsia="宋体"/>
          <w:i/>
          <w:iCs/>
          <w:color w:val="auto"/>
          <w:sz w:val="20"/>
          <w:szCs w:val="20"/>
          <w:highlight w:val="none"/>
          <w:lang w:val="en-US" w:eastAsia="zh-CN"/>
        </w:rPr>
        <w:t>Agreement: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lang w:val="en-US"/>
        </w:rPr>
      </w:pPr>
      <w:r>
        <w:rPr>
          <w:rFonts w:hint="eastAsia"/>
          <w:i/>
          <w:iCs/>
          <w:color w:val="auto"/>
          <w:sz w:val="20"/>
          <w:szCs w:val="20"/>
          <w:highlight w:val="none"/>
          <w:lang w:val="en-US"/>
        </w:rPr>
        <w:t xml:space="preserve">DL PRS configuration including DL PRS transmission schedule is to be indicated to </w:t>
      </w:r>
      <w:r>
        <w:rPr>
          <w:i/>
          <w:iCs/>
          <w:color w:val="auto"/>
          <w:sz w:val="20"/>
          <w:szCs w:val="20"/>
          <w:highlight w:val="none"/>
          <w:lang w:val="en-US"/>
        </w:rPr>
        <w:t xml:space="preserve">the </w:t>
      </w:r>
      <w:r>
        <w:rPr>
          <w:rFonts w:hint="eastAsia"/>
          <w:i/>
          <w:iCs/>
          <w:color w:val="auto"/>
          <w:sz w:val="20"/>
          <w:szCs w:val="20"/>
          <w:highlight w:val="none"/>
          <w:lang w:val="en-US"/>
        </w:rPr>
        <w:t>UE for DL PRS positioning measurements</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lang w:val="en-US"/>
        </w:rPr>
      </w:pPr>
      <w:r>
        <w:rPr>
          <w:i/>
          <w:iCs/>
          <w:color w:val="auto"/>
          <w:sz w:val="20"/>
          <w:szCs w:val="20"/>
          <w:highlight w:val="none"/>
          <w:lang w:val="en-US"/>
        </w:rPr>
        <w:t>The UE is not expected to perform any blind detection of DL PRS configurations</w:t>
      </w:r>
    </w:p>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outlineLvl w:val="9"/>
        <w:rPr>
          <w:rFonts w:hint="eastAsia" w:eastAsia="宋体"/>
          <w:b w:val="0"/>
          <w:bCs w:val="0"/>
          <w:i w:val="0"/>
          <w:iCs w:val="0"/>
          <w:color w:val="auto"/>
          <w:sz w:val="20"/>
          <w:szCs w:val="20"/>
          <w:highlight w:val="none"/>
          <w:lang w:val="en-US" w:eastAsia="zh-CN"/>
        </w:rPr>
      </w:pPr>
      <w:r>
        <w:rPr>
          <w:rFonts w:hint="eastAsia" w:eastAsia="宋体"/>
          <w:b w:val="0"/>
          <w:bCs w:val="0"/>
          <w:i w:val="0"/>
          <w:iCs w:val="0"/>
          <w:color w:val="auto"/>
          <w:sz w:val="20"/>
          <w:szCs w:val="20"/>
          <w:highlight w:val="none"/>
          <w:lang w:val="en-US" w:eastAsia="zh-CN"/>
        </w:rPr>
        <w:t>In line with our companion paper [3], we think the starting symbol of PRS resources candidates should be predefined within a time unit of 5ms, and just like SSB detection, this predefined position for PRS resources should be known by the UE, so just with the schedule bit string and an index of the starting point, the UE could know where to detect the PRS.</w:t>
      </w:r>
      <w:bookmarkStart w:id="1" w:name="_GoBack"/>
      <w:bookmarkEnd w:id="1"/>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textAlignment w:val="baseline"/>
        <w:outlineLvl w:val="9"/>
        <w:rPr>
          <w:rFonts w:hint="default" w:eastAsia="宋体"/>
          <w:b/>
          <w:bCs/>
          <w:i/>
          <w:iCs/>
          <w:color w:val="auto"/>
          <w:sz w:val="20"/>
          <w:szCs w:val="20"/>
          <w:highlight w:val="none"/>
          <w:lang w:val="en-US" w:eastAsia="zh-CN"/>
        </w:rPr>
      </w:pPr>
      <w:r>
        <w:rPr>
          <w:rFonts w:hint="eastAsia" w:eastAsia="宋体"/>
          <w:b/>
          <w:bCs/>
          <w:i/>
          <w:iCs/>
          <w:color w:val="auto"/>
          <w:sz w:val="20"/>
          <w:szCs w:val="20"/>
          <w:highlight w:val="none"/>
          <w:lang w:val="en-US" w:eastAsia="zh-CN"/>
        </w:rPr>
        <w:t>Proposal 5: Predefined starting symbols of PRS resources candidates should be known by UE.</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textAlignment w:val="baseline"/>
        <w:outlineLvl w:val="9"/>
        <w:rPr>
          <w:rFonts w:hint="default" w:eastAsia="宋体"/>
          <w:b/>
          <w:bCs/>
          <w:i w:val="0"/>
          <w:iCs w:val="0"/>
          <w:color w:val="auto"/>
          <w:sz w:val="20"/>
          <w:szCs w:val="20"/>
          <w:highlight w:val="none"/>
          <w:lang w:val="en-US" w:eastAsia="zh-CN"/>
        </w:rPr>
      </w:pPr>
    </w:p>
    <w:p>
      <w:pPr>
        <w:pStyle w:val="2"/>
        <w:pageBreakBefore w:val="0"/>
        <w:tabs>
          <w:tab w:val="left" w:pos="450"/>
          <w:tab w:val="clear" w:pos="612"/>
        </w:tabs>
        <w:kinsoku/>
        <w:wordWrap/>
        <w:topLinePunct w:val="0"/>
        <w:bidi w:val="0"/>
        <w:snapToGrid w:val="0"/>
        <w:ind w:hanging="612"/>
      </w:pPr>
      <w:r>
        <w:t>Conclusion</w:t>
      </w:r>
    </w:p>
    <w:p>
      <w:pPr>
        <w:pageBreakBefore w:val="0"/>
        <w:kinsoku/>
        <w:wordWrap/>
        <w:topLinePunct w:val="0"/>
        <w:bidi w:val="0"/>
        <w:snapToGrid w:val="0"/>
        <w:spacing w:after="120"/>
        <w:rPr>
          <w:rFonts w:hint="eastAsia" w:eastAsiaTheme="minorEastAsia"/>
          <w:sz w:val="20"/>
          <w:lang w:val="en-US" w:eastAsia="zh-CN"/>
        </w:rPr>
      </w:pPr>
      <w:r>
        <w:rPr>
          <w:rFonts w:hint="eastAsia" w:eastAsiaTheme="minorEastAsia"/>
          <w:sz w:val="20"/>
          <w:lang w:val="en-US" w:eastAsia="zh-CN"/>
        </w:rPr>
        <w:t>Based on our study, the following proposals are proposed:</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rFonts w:hint="eastAsia"/>
          <w:b/>
          <w:bCs/>
          <w:i/>
          <w:iCs/>
          <w:color w:val="auto"/>
          <w:sz w:val="20"/>
          <w:szCs w:val="20"/>
          <w:highlight w:val="none"/>
          <w:lang w:val="en-US" w:eastAsia="zh-CN"/>
        </w:rPr>
      </w:pPr>
      <w:r>
        <w:rPr>
          <w:rFonts w:hint="eastAsia"/>
          <w:b/>
          <w:bCs/>
          <w:i/>
          <w:iCs/>
          <w:color w:val="auto"/>
          <w:sz w:val="20"/>
          <w:szCs w:val="20"/>
          <w:highlight w:val="none"/>
          <w:lang w:val="en-US" w:eastAsia="zh-CN"/>
        </w:rPr>
        <w:t>Proposal 1: Support only option 1, i.e. t</w:t>
      </w:r>
      <w:r>
        <w:rPr>
          <w:b/>
          <w:bCs/>
          <w:i/>
          <w:iCs/>
          <w:color w:val="auto"/>
          <w:sz w:val="20"/>
          <w:szCs w:val="20"/>
          <w:highlight w:val="none"/>
          <w:lang w:val="en-US"/>
        </w:rPr>
        <w:t>he DL PRS can be configured to be QCLed Type D with a DL Reference Signal from a serving or neighboring cell</w:t>
      </w:r>
      <w:r>
        <w:rPr>
          <w:rFonts w:hint="eastAsia"/>
          <w:b/>
          <w:bCs/>
          <w:i/>
          <w:iCs/>
          <w:color w:val="auto"/>
          <w:sz w:val="20"/>
          <w:szCs w:val="20"/>
          <w:highlight w:val="none"/>
          <w:lang w:val="en-US" w:eastAsia="zh-CN"/>
        </w:rPr>
        <w:t xml:space="preserve">. </w:t>
      </w:r>
    </w:p>
    <w:p>
      <w:pPr>
        <w:keepNext w:val="0"/>
        <w:keepLines w:val="0"/>
        <w:pageBreakBefore w:val="0"/>
        <w:widowControl/>
        <w:numPr>
          <w:ilvl w:val="0"/>
          <w:numId w:val="8"/>
        </w:numPr>
        <w:tabs>
          <w:tab w:val="left" w:pos="1440"/>
          <w:tab w:val="clear" w:pos="720"/>
        </w:tabs>
        <w:kinsoku/>
        <w:wordWrap/>
        <w:overflowPunct w:val="0"/>
        <w:topLinePunct w:val="0"/>
        <w:autoSpaceDE w:val="0"/>
        <w:autoSpaceDN w:val="0"/>
        <w:bidi w:val="0"/>
        <w:adjustRightInd w:val="0"/>
        <w:snapToGrid w:val="0"/>
        <w:spacing w:after="0" w:line="240" w:lineRule="auto"/>
        <w:ind w:left="720" w:leftChars="0" w:hanging="360" w:firstLineChars="0"/>
        <w:textAlignment w:val="baseline"/>
        <w:outlineLvl w:val="9"/>
        <w:rPr>
          <w:rFonts w:hint="eastAsia" w:eastAsia="宋体"/>
          <w:b/>
          <w:bCs/>
          <w:i/>
          <w:iCs/>
          <w:color w:val="auto"/>
          <w:sz w:val="20"/>
          <w:szCs w:val="20"/>
          <w:highlight w:val="none"/>
          <w:lang w:val="en-US" w:eastAsia="zh-CN"/>
        </w:rPr>
      </w:pPr>
      <w:r>
        <w:rPr>
          <w:rFonts w:hint="eastAsia"/>
          <w:b/>
          <w:bCs/>
          <w:i/>
          <w:iCs/>
          <w:color w:val="auto"/>
          <w:sz w:val="20"/>
          <w:szCs w:val="20"/>
          <w:highlight w:val="none"/>
          <w:lang w:val="en-US" w:eastAsia="zh-CN"/>
        </w:rPr>
        <w:t>SSB and periodic CSI-RS can be the QCL source.</w:t>
      </w:r>
    </w:p>
    <w:p>
      <w:pPr>
        <w:keepNext w:val="0"/>
        <w:keepLines w:val="0"/>
        <w:pageBreakBefore w:val="0"/>
        <w:widowControl/>
        <w:kinsoku/>
        <w:wordWrap/>
        <w:overflowPunct w:val="0"/>
        <w:topLinePunct w:val="0"/>
        <w:autoSpaceDE w:val="0"/>
        <w:autoSpaceDN w:val="0"/>
        <w:bidi w:val="0"/>
        <w:adjustRightInd w:val="0"/>
        <w:snapToGrid w:val="0"/>
        <w:spacing w:before="181" w:after="0"/>
        <w:textAlignment w:val="baseline"/>
        <w:outlineLvl w:val="9"/>
        <w:rPr>
          <w:b/>
          <w:bCs/>
          <w:i/>
          <w:iCs/>
          <w:color w:val="auto"/>
          <w:sz w:val="20"/>
          <w:szCs w:val="20"/>
          <w:highlight w:val="none"/>
        </w:rPr>
      </w:pPr>
      <w:r>
        <w:rPr>
          <w:rFonts w:hint="eastAsia" w:eastAsia="宋体"/>
          <w:b/>
          <w:bCs/>
          <w:i/>
          <w:iCs/>
          <w:color w:val="auto"/>
          <w:sz w:val="20"/>
          <w:szCs w:val="20"/>
          <w:highlight w:val="none"/>
          <w:lang w:val="en-US" w:eastAsia="zh-CN"/>
        </w:rPr>
        <w:t xml:space="preserve">Proposal 2: Support option 1, i.e. </w:t>
      </w:r>
      <w:r>
        <w:rPr>
          <w:b/>
          <w:bCs/>
          <w:i/>
          <w:iCs/>
          <w:color w:val="auto"/>
          <w:sz w:val="20"/>
          <w:szCs w:val="20"/>
          <w:highlight w:val="none"/>
        </w:rPr>
        <w:t>Support configuration of a spatial relation between a reference DL RS from serving or neighbouring cells and the target SRS</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textAlignment w:val="baseline"/>
        <w:outlineLvl w:val="9"/>
        <w:rPr>
          <w:rFonts w:hint="default" w:eastAsia="宋体"/>
          <w:b/>
          <w:bCs/>
          <w:i/>
          <w:iCs/>
          <w:color w:val="auto"/>
          <w:sz w:val="20"/>
          <w:szCs w:val="20"/>
          <w:highlight w:val="none"/>
          <w:lang w:val="en-US" w:eastAsia="zh-CN"/>
        </w:rPr>
      </w:pPr>
      <w:r>
        <w:rPr>
          <w:rFonts w:hint="eastAsia"/>
          <w:b/>
          <w:bCs/>
          <w:i/>
          <w:iCs/>
          <w:color w:val="auto"/>
          <w:sz w:val="20"/>
          <w:szCs w:val="20"/>
          <w:highlight w:val="none"/>
          <w:lang w:val="en-US" w:eastAsia="zh-CN"/>
        </w:rPr>
        <w:t>SSB and periodic CSI-RS can be the source of spatial relation.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81" w:afterLines="50" w:line="240" w:lineRule="auto"/>
        <w:textAlignment w:val="baseline"/>
        <w:outlineLvl w:val="9"/>
        <w:rPr>
          <w:rFonts w:hint="eastAsia" w:eastAsia="宋体"/>
          <w:b/>
          <w:bCs/>
          <w:i/>
          <w:iCs/>
          <w:color w:val="auto"/>
          <w:sz w:val="20"/>
          <w:szCs w:val="20"/>
          <w:highlight w:val="none"/>
          <w:lang w:val="en-US" w:eastAsia="zh-CN"/>
        </w:rPr>
      </w:pPr>
      <w:r>
        <w:rPr>
          <w:rFonts w:hint="eastAsia"/>
          <w:b/>
          <w:bCs/>
          <w:i/>
          <w:iCs/>
          <w:color w:val="auto"/>
          <w:sz w:val="20"/>
          <w:szCs w:val="20"/>
          <w:highlight w:val="none"/>
          <w:lang w:val="en-US" w:eastAsia="zh-CN"/>
        </w:rPr>
        <w:t>Proposal 3: I</w:t>
      </w:r>
      <w:r>
        <w:rPr>
          <w:b/>
          <w:bCs/>
          <w:i/>
          <w:iCs/>
          <w:color w:val="auto"/>
          <w:sz w:val="20"/>
          <w:szCs w:val="20"/>
          <w:highlight w:val="none"/>
        </w:rPr>
        <w:t>f the measurement is made during a configured measurement gap</w:t>
      </w:r>
      <w:r>
        <w:rPr>
          <w:rFonts w:hint="eastAsia" w:eastAsia="宋体"/>
          <w:b/>
          <w:bCs/>
          <w:i/>
          <w:iCs/>
          <w:color w:val="auto"/>
          <w:sz w:val="20"/>
          <w:szCs w:val="20"/>
          <w:highlight w:val="none"/>
          <w:lang w:val="en-US" w:eastAsia="zh-CN"/>
        </w:rPr>
        <w:t>, t</w:t>
      </w:r>
      <w:r>
        <w:rPr>
          <w:b/>
          <w:bCs/>
          <w:i/>
          <w:iCs/>
          <w:color w:val="auto"/>
          <w:sz w:val="20"/>
          <w:szCs w:val="20"/>
          <w:highlight w:val="none"/>
        </w:rPr>
        <w:t>he UE can measure outside the DL BWP configuration</w:t>
      </w:r>
      <w:r>
        <w:rPr>
          <w:rFonts w:hint="eastAsia" w:eastAsia="宋体"/>
          <w:b/>
          <w:bCs/>
          <w:i/>
          <w:iCs/>
          <w:color w:val="auto"/>
          <w:sz w:val="20"/>
          <w:szCs w:val="20"/>
          <w:highlight w:val="none"/>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textAlignment w:val="baseline"/>
        <w:outlineLvl w:val="9"/>
        <w:rPr>
          <w:b/>
          <w:bCs/>
          <w:i/>
          <w:iCs/>
          <w:color w:val="auto"/>
          <w:sz w:val="20"/>
          <w:szCs w:val="20"/>
          <w:highlight w:val="none"/>
          <w:lang w:val="en-US"/>
        </w:rPr>
      </w:pPr>
      <w:r>
        <w:rPr>
          <w:rFonts w:hint="eastAsia" w:eastAsia="宋体"/>
          <w:b/>
          <w:bCs/>
          <w:i/>
          <w:iCs/>
          <w:color w:val="auto"/>
          <w:sz w:val="20"/>
          <w:szCs w:val="20"/>
          <w:highlight w:val="none"/>
          <w:lang w:val="en-US" w:eastAsia="zh-CN"/>
        </w:rPr>
        <w:t xml:space="preserve">Proposal 4: </w:t>
      </w:r>
      <w:r>
        <w:rPr>
          <w:b/>
          <w:bCs/>
          <w:i/>
          <w:iCs/>
          <w:color w:val="auto"/>
          <w:sz w:val="20"/>
          <w:szCs w:val="20"/>
          <w:highlight w:val="none"/>
          <w:lang w:val="en-US"/>
        </w:rPr>
        <w:t>The UL SRS Tx power is determined by modifying the existing power control procedure, for example:</w:t>
      </w:r>
    </w:p>
    <w:p>
      <w:pPr>
        <w:keepNext w:val="0"/>
        <w:keepLines w:val="0"/>
        <w:pageBreakBefore w:val="0"/>
        <w:widowControl/>
        <w:numPr>
          <w:ilvl w:val="0"/>
          <w:numId w:val="11"/>
        </w:numPr>
        <w:tabs>
          <w:tab w:val="left" w:pos="1440"/>
          <w:tab w:val="clear" w:pos="720"/>
        </w:tabs>
        <w:kinsoku/>
        <w:wordWrap/>
        <w:overflowPunct w:val="0"/>
        <w:topLinePunct w:val="0"/>
        <w:autoSpaceDE w:val="0"/>
        <w:autoSpaceDN w:val="0"/>
        <w:bidi w:val="0"/>
        <w:adjustRightInd w:val="0"/>
        <w:snapToGrid w:val="0"/>
        <w:spacing w:after="0" w:line="240" w:lineRule="auto"/>
        <w:ind w:left="720"/>
        <w:textAlignment w:val="baseline"/>
        <w:outlineLvl w:val="9"/>
        <w:rPr>
          <w:rFonts w:hint="default" w:eastAsia="宋体"/>
          <w:b/>
          <w:bCs/>
          <w:i/>
          <w:iCs/>
          <w:color w:val="auto"/>
          <w:sz w:val="20"/>
          <w:szCs w:val="20"/>
          <w:highlight w:val="none"/>
          <w:lang w:val="en-US" w:eastAsia="zh-CN"/>
        </w:rPr>
      </w:pPr>
      <w:r>
        <w:rPr>
          <w:b/>
          <w:bCs/>
          <w:i/>
          <w:iCs/>
          <w:color w:val="auto"/>
          <w:sz w:val="20"/>
          <w:szCs w:val="20"/>
          <w:highlight w:val="none"/>
          <w:lang w:val="en-US"/>
        </w:rPr>
        <w:t xml:space="preserve">Support configuring a DL reference signal of a neighboring cell to be used for SRS path loss estimation.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textAlignment w:val="baseline"/>
        <w:outlineLvl w:val="9"/>
        <w:rPr>
          <w:rFonts w:hint="eastAsia" w:eastAsia="宋体"/>
          <w:b/>
          <w:bCs/>
          <w:i/>
          <w:iCs/>
          <w:color w:val="auto"/>
          <w:sz w:val="20"/>
          <w:szCs w:val="20"/>
          <w:highlight w:val="none"/>
          <w:lang w:val="en-US" w:eastAsia="zh-CN"/>
        </w:rPr>
      </w:pPr>
    </w:p>
    <w:p>
      <w:pPr>
        <w:pageBreakBefore w:val="0"/>
        <w:kinsoku/>
        <w:wordWrap/>
        <w:overflowPunct/>
        <w:topLinePunct w:val="0"/>
        <w:autoSpaceDE/>
        <w:autoSpaceDN/>
        <w:bidi w:val="0"/>
        <w:snapToGrid w:val="0"/>
        <w:spacing w:afterLines="50" w:line="264" w:lineRule="auto"/>
        <w:textAlignment w:val="auto"/>
        <w:rPr>
          <w:rFonts w:eastAsiaTheme="minorEastAsia"/>
          <w:i/>
          <w:sz w:val="20"/>
          <w:szCs w:val="22"/>
          <w:lang w:val="en-US" w:eastAsia="zh-CN"/>
        </w:rPr>
      </w:pPr>
      <w:r>
        <w:rPr>
          <w:rFonts w:hint="eastAsia" w:eastAsia="宋体"/>
          <w:b/>
          <w:bCs/>
          <w:i/>
          <w:iCs/>
          <w:color w:val="auto"/>
          <w:sz w:val="20"/>
          <w:szCs w:val="20"/>
          <w:highlight w:val="none"/>
          <w:lang w:val="en-US" w:eastAsia="zh-CN"/>
        </w:rPr>
        <w:t>Proposal 5: Predefined starting symbols of PRS resources candidates should be known by UE.</w:t>
      </w:r>
    </w:p>
    <w:p>
      <w:pPr>
        <w:pStyle w:val="2"/>
        <w:pageBreakBefore w:val="0"/>
        <w:tabs>
          <w:tab w:val="left" w:pos="450"/>
          <w:tab w:val="clear" w:pos="612"/>
        </w:tabs>
        <w:kinsoku/>
        <w:wordWrap/>
        <w:topLinePunct w:val="0"/>
        <w:bidi w:val="0"/>
        <w:snapToGrid w:val="0"/>
        <w:ind w:hanging="612"/>
      </w:pPr>
      <w:r>
        <w:t>References</w:t>
      </w:r>
    </w:p>
    <w:p>
      <w:pPr>
        <w:pStyle w:val="126"/>
        <w:pageBreakBefore w:val="0"/>
        <w:numPr>
          <w:ilvl w:val="0"/>
          <w:numId w:val="13"/>
        </w:numPr>
        <w:kinsoku/>
        <w:wordWrap/>
        <w:topLinePunct w:val="0"/>
        <w:bidi w:val="0"/>
        <w:snapToGrid w:val="0"/>
        <w:rPr>
          <w:sz w:val="20"/>
          <w:szCs w:val="20"/>
          <w:lang w:val="en-GB"/>
        </w:rPr>
      </w:pPr>
      <w:r>
        <w:rPr>
          <w:rFonts w:hint="eastAsia"/>
          <w:sz w:val="20"/>
          <w:szCs w:val="20"/>
        </w:rPr>
        <w:t>Chairman notes of RAN1#96</w:t>
      </w:r>
      <w:r>
        <w:rPr>
          <w:rFonts w:hint="eastAsia"/>
          <w:sz w:val="20"/>
          <w:szCs w:val="20"/>
          <w:lang w:val="en-US" w:eastAsia="zh-CN"/>
        </w:rPr>
        <w:t>bis</w:t>
      </w:r>
      <w:r>
        <w:rPr>
          <w:rFonts w:hint="eastAsia"/>
          <w:sz w:val="20"/>
          <w:szCs w:val="20"/>
        </w:rPr>
        <w:t xml:space="preserve"> meeting</w:t>
      </w:r>
    </w:p>
    <w:p>
      <w:pPr>
        <w:pStyle w:val="126"/>
        <w:pageBreakBefore w:val="0"/>
        <w:numPr>
          <w:ilvl w:val="0"/>
          <w:numId w:val="13"/>
        </w:numPr>
        <w:kinsoku/>
        <w:wordWrap/>
        <w:topLinePunct w:val="0"/>
        <w:bidi w:val="0"/>
        <w:snapToGrid w:val="0"/>
        <w:rPr>
          <w:sz w:val="20"/>
          <w:szCs w:val="20"/>
          <w:lang w:val="en-GB"/>
        </w:rPr>
      </w:pPr>
      <w:r>
        <w:rPr>
          <w:rFonts w:hint="eastAsia"/>
          <w:sz w:val="20"/>
          <w:szCs w:val="20"/>
          <w:lang w:val="en-US" w:eastAsia="zh-CN"/>
        </w:rPr>
        <w:t xml:space="preserve">3GPP TR 38.855, </w:t>
      </w:r>
      <w:r>
        <w:rPr>
          <w:rFonts w:hint="default"/>
          <w:sz w:val="20"/>
          <w:szCs w:val="20"/>
          <w:lang w:val="en-US" w:eastAsia="zh-CN"/>
        </w:rPr>
        <w:t>“</w:t>
      </w:r>
      <w:r>
        <w:rPr>
          <w:rFonts w:hint="eastAsia"/>
          <w:sz w:val="20"/>
          <w:szCs w:val="20"/>
          <w:lang w:val="en-US" w:eastAsia="zh-CN"/>
        </w:rPr>
        <w:t>Study on NR positioning support</w:t>
      </w:r>
      <w:r>
        <w:rPr>
          <w:rFonts w:hint="default"/>
          <w:sz w:val="20"/>
          <w:szCs w:val="20"/>
          <w:lang w:val="en-US" w:eastAsia="zh-CN"/>
        </w:rPr>
        <w:t>”</w:t>
      </w:r>
    </w:p>
    <w:p>
      <w:pPr>
        <w:pStyle w:val="126"/>
        <w:pageBreakBefore w:val="0"/>
        <w:numPr>
          <w:ilvl w:val="0"/>
          <w:numId w:val="13"/>
        </w:numPr>
        <w:kinsoku/>
        <w:wordWrap/>
        <w:topLinePunct w:val="0"/>
        <w:bidi w:val="0"/>
        <w:snapToGrid w:val="0"/>
        <w:rPr>
          <w:sz w:val="20"/>
          <w:szCs w:val="20"/>
          <w:lang w:val="en-GB"/>
        </w:rPr>
      </w:pPr>
      <w:r>
        <w:rPr>
          <w:rFonts w:hint="eastAsia"/>
          <w:sz w:val="20"/>
          <w:szCs w:val="20"/>
          <w:lang w:val="en-US" w:eastAsia="zh-CN"/>
        </w:rPr>
        <w:t xml:space="preserve">3GPP R1-1906424, </w:t>
      </w:r>
      <w:r>
        <w:rPr>
          <w:rFonts w:hint="default"/>
          <w:sz w:val="20"/>
          <w:szCs w:val="20"/>
          <w:lang w:val="en-US" w:eastAsia="zh-CN"/>
        </w:rPr>
        <w:t>“</w:t>
      </w:r>
      <w:r>
        <w:rPr>
          <w:rFonts w:hint="eastAsia"/>
          <w:sz w:val="20"/>
          <w:szCs w:val="20"/>
          <w:lang w:val="en-US" w:eastAsia="zh-CN"/>
        </w:rPr>
        <w:t>Discussion on NR DL PRS</w:t>
      </w:r>
      <w:r>
        <w:rPr>
          <w:rFonts w:hint="default"/>
          <w:sz w:val="20"/>
          <w:szCs w:val="20"/>
          <w:lang w:val="en-US" w:eastAsia="zh-CN"/>
        </w:rPr>
        <w:t>”</w:t>
      </w:r>
      <w:r>
        <w:rPr>
          <w:rFonts w:hint="eastAsia"/>
          <w:sz w:val="20"/>
          <w:szCs w:val="20"/>
          <w:lang w:val="en-US" w:eastAsia="zh-CN"/>
        </w:rPr>
        <w:t>, ZTE</w:t>
      </w:r>
    </w:p>
    <w:p>
      <w:pPr>
        <w:pStyle w:val="14"/>
        <w:pageBreakBefore w:val="0"/>
        <w:kinsoku/>
        <w:wordWrap/>
        <w:topLinePunct w:val="0"/>
        <w:bidi w:val="0"/>
        <w:snapToGrid w:val="0"/>
        <w:jc w:val="center"/>
        <w:rPr>
          <w:rFonts w:hint="default" w:eastAsiaTheme="minorEastAsia"/>
          <w:lang w:val="en-US" w:eastAsia="zh-CN"/>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 PAGE   \* MERGEFORMAT </w:instrText>
    </w:r>
    <w:r>
      <w:fldChar w:fldCharType="separate"/>
    </w:r>
    <w:r>
      <w:t>5</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93495D"/>
    <w:multiLevelType w:val="singleLevel"/>
    <w:tmpl w:val="DD93495D"/>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281B3C72"/>
    <w:multiLevelType w:val="multilevel"/>
    <w:tmpl w:val="281B3C7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5">
    <w:nsid w:val="417F6AFB"/>
    <w:multiLevelType w:val="multilevel"/>
    <w:tmpl w:val="417F6AFB"/>
    <w:lvl w:ilvl="0" w:tentative="0">
      <w:start w:val="1"/>
      <w:numFmt w:val="bullet"/>
      <w:pStyle w:val="12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6">
    <w:nsid w:val="41C906DE"/>
    <w:multiLevelType w:val="multilevel"/>
    <w:tmpl w:val="41C906D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8">
    <w:nsid w:val="46771075"/>
    <w:multiLevelType w:val="multilevel"/>
    <w:tmpl w:val="4677107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
    <w:nsid w:val="49323876"/>
    <w:multiLevelType w:val="multilevel"/>
    <w:tmpl w:val="4932387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0">
    <w:nsid w:val="49981C22"/>
    <w:multiLevelType w:val="multilevel"/>
    <w:tmpl w:val="49981C2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
  </w:num>
  <w:num w:numId="3">
    <w:abstractNumId w:val="12"/>
  </w:num>
  <w:num w:numId="4">
    <w:abstractNumId w:val="7"/>
  </w:num>
  <w:num w:numId="5">
    <w:abstractNumId w:val="11"/>
  </w:num>
  <w:num w:numId="6">
    <w:abstractNumId w:val="4"/>
  </w:num>
  <w:num w:numId="7">
    <w:abstractNumId w:val="5"/>
  </w:num>
  <w:num w:numId="8">
    <w:abstractNumId w:val="3"/>
  </w:num>
  <w:num w:numId="9">
    <w:abstractNumId w:val="6"/>
  </w:num>
  <w:num w:numId="10">
    <w:abstractNumId w:val="10"/>
  </w:num>
  <w:num w:numId="11">
    <w:abstractNumId w:val="9"/>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trackRevisions w:val="1"/>
  <w:documentProtection w:enforcement="0"/>
  <w:defaultTabStop w:val="720"/>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4CE5"/>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3C8"/>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302"/>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CB0"/>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3F92"/>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262"/>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090569"/>
    <w:rsid w:val="011E0CA1"/>
    <w:rsid w:val="01254A28"/>
    <w:rsid w:val="012A074D"/>
    <w:rsid w:val="01400369"/>
    <w:rsid w:val="01452386"/>
    <w:rsid w:val="01724775"/>
    <w:rsid w:val="023F038C"/>
    <w:rsid w:val="02477DD8"/>
    <w:rsid w:val="0269688F"/>
    <w:rsid w:val="029E2942"/>
    <w:rsid w:val="02BD5043"/>
    <w:rsid w:val="02CF7F8E"/>
    <w:rsid w:val="02D56662"/>
    <w:rsid w:val="02F62B85"/>
    <w:rsid w:val="02F91C61"/>
    <w:rsid w:val="034314F3"/>
    <w:rsid w:val="03437733"/>
    <w:rsid w:val="035A2D91"/>
    <w:rsid w:val="03BF4D7D"/>
    <w:rsid w:val="03E11197"/>
    <w:rsid w:val="03F3554F"/>
    <w:rsid w:val="03F36C24"/>
    <w:rsid w:val="03FA589A"/>
    <w:rsid w:val="04BD3046"/>
    <w:rsid w:val="04E222CA"/>
    <w:rsid w:val="04E23B19"/>
    <w:rsid w:val="050407CB"/>
    <w:rsid w:val="05273492"/>
    <w:rsid w:val="05304FB4"/>
    <w:rsid w:val="055F7F29"/>
    <w:rsid w:val="056F2326"/>
    <w:rsid w:val="05C27C8C"/>
    <w:rsid w:val="06134263"/>
    <w:rsid w:val="063A38BA"/>
    <w:rsid w:val="065F0AFE"/>
    <w:rsid w:val="066705F1"/>
    <w:rsid w:val="06A62BA1"/>
    <w:rsid w:val="06D734E2"/>
    <w:rsid w:val="06F74976"/>
    <w:rsid w:val="06FE340B"/>
    <w:rsid w:val="0717277A"/>
    <w:rsid w:val="076B4EDA"/>
    <w:rsid w:val="07757D07"/>
    <w:rsid w:val="07825A77"/>
    <w:rsid w:val="07B77DA0"/>
    <w:rsid w:val="07E22B03"/>
    <w:rsid w:val="07E94368"/>
    <w:rsid w:val="08250D93"/>
    <w:rsid w:val="087C1F80"/>
    <w:rsid w:val="08B61EB5"/>
    <w:rsid w:val="096F7D8B"/>
    <w:rsid w:val="09735A12"/>
    <w:rsid w:val="097A5551"/>
    <w:rsid w:val="09855BE2"/>
    <w:rsid w:val="09B32EC2"/>
    <w:rsid w:val="09BF1B4B"/>
    <w:rsid w:val="09F020FF"/>
    <w:rsid w:val="0A024AD1"/>
    <w:rsid w:val="0A36207A"/>
    <w:rsid w:val="0A3F018E"/>
    <w:rsid w:val="0AE442C3"/>
    <w:rsid w:val="0B0D4E56"/>
    <w:rsid w:val="0B3423AE"/>
    <w:rsid w:val="0B3B565D"/>
    <w:rsid w:val="0B8A0BE3"/>
    <w:rsid w:val="0BA16115"/>
    <w:rsid w:val="0BB21BB1"/>
    <w:rsid w:val="0BD9404E"/>
    <w:rsid w:val="0C353BED"/>
    <w:rsid w:val="0C376A21"/>
    <w:rsid w:val="0C4D3004"/>
    <w:rsid w:val="0CA56F24"/>
    <w:rsid w:val="0CA84E01"/>
    <w:rsid w:val="0CB44256"/>
    <w:rsid w:val="0CCB66FC"/>
    <w:rsid w:val="0CDD410B"/>
    <w:rsid w:val="0CF93852"/>
    <w:rsid w:val="0D025DE2"/>
    <w:rsid w:val="0D1B2AD5"/>
    <w:rsid w:val="0DD5274D"/>
    <w:rsid w:val="0E0C48A6"/>
    <w:rsid w:val="0E0E2A94"/>
    <w:rsid w:val="0E1951E4"/>
    <w:rsid w:val="0E7640A8"/>
    <w:rsid w:val="0E884C47"/>
    <w:rsid w:val="0EC02BE6"/>
    <w:rsid w:val="0F061F46"/>
    <w:rsid w:val="0F3F3C96"/>
    <w:rsid w:val="0F433F3F"/>
    <w:rsid w:val="0F512AE4"/>
    <w:rsid w:val="0F821EDD"/>
    <w:rsid w:val="0F974689"/>
    <w:rsid w:val="0F9D7E0A"/>
    <w:rsid w:val="0FBE1CB2"/>
    <w:rsid w:val="0FD14118"/>
    <w:rsid w:val="0FEF58CE"/>
    <w:rsid w:val="0FFC35AE"/>
    <w:rsid w:val="100C1557"/>
    <w:rsid w:val="10206C98"/>
    <w:rsid w:val="107D33D6"/>
    <w:rsid w:val="10AD0F99"/>
    <w:rsid w:val="10CB6F40"/>
    <w:rsid w:val="10DB530B"/>
    <w:rsid w:val="10E66C24"/>
    <w:rsid w:val="10EB6FCC"/>
    <w:rsid w:val="10FB0B18"/>
    <w:rsid w:val="11A75BA8"/>
    <w:rsid w:val="11AC3D53"/>
    <w:rsid w:val="11B5413C"/>
    <w:rsid w:val="11E96EC9"/>
    <w:rsid w:val="11F20572"/>
    <w:rsid w:val="11F652A8"/>
    <w:rsid w:val="1211513C"/>
    <w:rsid w:val="12225B65"/>
    <w:rsid w:val="1257524A"/>
    <w:rsid w:val="12A04A8C"/>
    <w:rsid w:val="12BC5412"/>
    <w:rsid w:val="12C30776"/>
    <w:rsid w:val="130D6539"/>
    <w:rsid w:val="131234C2"/>
    <w:rsid w:val="13196527"/>
    <w:rsid w:val="131C406C"/>
    <w:rsid w:val="131E1AD6"/>
    <w:rsid w:val="1340786A"/>
    <w:rsid w:val="13652D07"/>
    <w:rsid w:val="13843103"/>
    <w:rsid w:val="138A7A95"/>
    <w:rsid w:val="138C44D9"/>
    <w:rsid w:val="13C83130"/>
    <w:rsid w:val="13CC6AC3"/>
    <w:rsid w:val="13E83435"/>
    <w:rsid w:val="14597E11"/>
    <w:rsid w:val="1482587A"/>
    <w:rsid w:val="148F0710"/>
    <w:rsid w:val="14975D91"/>
    <w:rsid w:val="14AB2E9F"/>
    <w:rsid w:val="14C75338"/>
    <w:rsid w:val="14E17706"/>
    <w:rsid w:val="14EE5BE4"/>
    <w:rsid w:val="14F04CDD"/>
    <w:rsid w:val="14FA466D"/>
    <w:rsid w:val="14FD15E3"/>
    <w:rsid w:val="1528363E"/>
    <w:rsid w:val="15346082"/>
    <w:rsid w:val="1535339D"/>
    <w:rsid w:val="155A6753"/>
    <w:rsid w:val="15993FD3"/>
    <w:rsid w:val="16091F83"/>
    <w:rsid w:val="161B1EE1"/>
    <w:rsid w:val="166B05BC"/>
    <w:rsid w:val="16720049"/>
    <w:rsid w:val="167D5FF2"/>
    <w:rsid w:val="16977C20"/>
    <w:rsid w:val="1699424F"/>
    <w:rsid w:val="16F820D9"/>
    <w:rsid w:val="17151156"/>
    <w:rsid w:val="172D61FD"/>
    <w:rsid w:val="17630D56"/>
    <w:rsid w:val="177D0887"/>
    <w:rsid w:val="17896645"/>
    <w:rsid w:val="17912917"/>
    <w:rsid w:val="17B27077"/>
    <w:rsid w:val="17E611D0"/>
    <w:rsid w:val="18097DA2"/>
    <w:rsid w:val="180B1CB1"/>
    <w:rsid w:val="18210FE9"/>
    <w:rsid w:val="18AE36B7"/>
    <w:rsid w:val="18BB1670"/>
    <w:rsid w:val="18D71E2D"/>
    <w:rsid w:val="193405F9"/>
    <w:rsid w:val="195C4F0C"/>
    <w:rsid w:val="198759D0"/>
    <w:rsid w:val="199A440E"/>
    <w:rsid w:val="19F56019"/>
    <w:rsid w:val="1A553D43"/>
    <w:rsid w:val="1A563B1D"/>
    <w:rsid w:val="1A611342"/>
    <w:rsid w:val="1AB63435"/>
    <w:rsid w:val="1AEA71DE"/>
    <w:rsid w:val="1B163C16"/>
    <w:rsid w:val="1B552071"/>
    <w:rsid w:val="1B81710F"/>
    <w:rsid w:val="1B82251F"/>
    <w:rsid w:val="1BA27934"/>
    <w:rsid w:val="1C0750D6"/>
    <w:rsid w:val="1C384EAA"/>
    <w:rsid w:val="1C3F72FF"/>
    <w:rsid w:val="1C964AE7"/>
    <w:rsid w:val="1CC21ABE"/>
    <w:rsid w:val="1CEF435C"/>
    <w:rsid w:val="1D1362B7"/>
    <w:rsid w:val="1D1744F6"/>
    <w:rsid w:val="1D335699"/>
    <w:rsid w:val="1D612A42"/>
    <w:rsid w:val="1D814C43"/>
    <w:rsid w:val="1D8B0FBF"/>
    <w:rsid w:val="1DC20AB7"/>
    <w:rsid w:val="1E3F2038"/>
    <w:rsid w:val="1E42620B"/>
    <w:rsid w:val="1E5A0AA4"/>
    <w:rsid w:val="1E5B7F42"/>
    <w:rsid w:val="1E72501F"/>
    <w:rsid w:val="1EC00D0E"/>
    <w:rsid w:val="1F0459A1"/>
    <w:rsid w:val="1F087BE7"/>
    <w:rsid w:val="1F3B6850"/>
    <w:rsid w:val="1F4E569D"/>
    <w:rsid w:val="1FA56F65"/>
    <w:rsid w:val="1FC442F1"/>
    <w:rsid w:val="201B41F0"/>
    <w:rsid w:val="20232AEC"/>
    <w:rsid w:val="20614416"/>
    <w:rsid w:val="206609C6"/>
    <w:rsid w:val="20726272"/>
    <w:rsid w:val="20844ACD"/>
    <w:rsid w:val="20890208"/>
    <w:rsid w:val="20A50C21"/>
    <w:rsid w:val="20A804CC"/>
    <w:rsid w:val="2133281F"/>
    <w:rsid w:val="213E14BD"/>
    <w:rsid w:val="21A60491"/>
    <w:rsid w:val="22465106"/>
    <w:rsid w:val="226203F1"/>
    <w:rsid w:val="226B01B0"/>
    <w:rsid w:val="22705D1D"/>
    <w:rsid w:val="22715510"/>
    <w:rsid w:val="227A2231"/>
    <w:rsid w:val="22BA06F8"/>
    <w:rsid w:val="22F657F7"/>
    <w:rsid w:val="230541AD"/>
    <w:rsid w:val="23375015"/>
    <w:rsid w:val="235D19B9"/>
    <w:rsid w:val="23B03966"/>
    <w:rsid w:val="23CD19CB"/>
    <w:rsid w:val="23F1239B"/>
    <w:rsid w:val="23F14901"/>
    <w:rsid w:val="244C2DDD"/>
    <w:rsid w:val="24E739CE"/>
    <w:rsid w:val="24F55F51"/>
    <w:rsid w:val="250545EF"/>
    <w:rsid w:val="250A61E7"/>
    <w:rsid w:val="251F3396"/>
    <w:rsid w:val="25262FF7"/>
    <w:rsid w:val="254A702B"/>
    <w:rsid w:val="255502F2"/>
    <w:rsid w:val="259A09AD"/>
    <w:rsid w:val="25B27866"/>
    <w:rsid w:val="26506FDA"/>
    <w:rsid w:val="265905AA"/>
    <w:rsid w:val="26903F1E"/>
    <w:rsid w:val="26972AF0"/>
    <w:rsid w:val="26AF0FA6"/>
    <w:rsid w:val="26D57437"/>
    <w:rsid w:val="26D636E3"/>
    <w:rsid w:val="26D801CD"/>
    <w:rsid w:val="26DD1394"/>
    <w:rsid w:val="2716729D"/>
    <w:rsid w:val="27305CA3"/>
    <w:rsid w:val="273F044A"/>
    <w:rsid w:val="276203F1"/>
    <w:rsid w:val="27640833"/>
    <w:rsid w:val="276A0AEF"/>
    <w:rsid w:val="276E0D72"/>
    <w:rsid w:val="278D4EC6"/>
    <w:rsid w:val="27AA279F"/>
    <w:rsid w:val="27C51579"/>
    <w:rsid w:val="27D529CE"/>
    <w:rsid w:val="27EE6360"/>
    <w:rsid w:val="28024573"/>
    <w:rsid w:val="280D2622"/>
    <w:rsid w:val="28352E2F"/>
    <w:rsid w:val="2837381B"/>
    <w:rsid w:val="283F2875"/>
    <w:rsid w:val="28925FAE"/>
    <w:rsid w:val="28EA68B4"/>
    <w:rsid w:val="28F33755"/>
    <w:rsid w:val="29380279"/>
    <w:rsid w:val="294A44A7"/>
    <w:rsid w:val="294C1BC9"/>
    <w:rsid w:val="29B02469"/>
    <w:rsid w:val="29BB2026"/>
    <w:rsid w:val="2A476F4B"/>
    <w:rsid w:val="2A4C0381"/>
    <w:rsid w:val="2A607EB6"/>
    <w:rsid w:val="2A687C40"/>
    <w:rsid w:val="2A9024CA"/>
    <w:rsid w:val="2AC6341B"/>
    <w:rsid w:val="2B0760A2"/>
    <w:rsid w:val="2B165FD3"/>
    <w:rsid w:val="2B424B73"/>
    <w:rsid w:val="2B4D3058"/>
    <w:rsid w:val="2B5456EA"/>
    <w:rsid w:val="2B747FBC"/>
    <w:rsid w:val="2B852A53"/>
    <w:rsid w:val="2C2366DE"/>
    <w:rsid w:val="2C392355"/>
    <w:rsid w:val="2C71254F"/>
    <w:rsid w:val="2C902BF0"/>
    <w:rsid w:val="2C9A2640"/>
    <w:rsid w:val="2CE07732"/>
    <w:rsid w:val="2CE82407"/>
    <w:rsid w:val="2D0F710B"/>
    <w:rsid w:val="2D192BD5"/>
    <w:rsid w:val="2D2D6D56"/>
    <w:rsid w:val="2D2F6E17"/>
    <w:rsid w:val="2D354290"/>
    <w:rsid w:val="2D6A1973"/>
    <w:rsid w:val="2D753490"/>
    <w:rsid w:val="2D7E0488"/>
    <w:rsid w:val="2DCE4550"/>
    <w:rsid w:val="2E303C0A"/>
    <w:rsid w:val="2E340FF9"/>
    <w:rsid w:val="2E49644E"/>
    <w:rsid w:val="2E6E7587"/>
    <w:rsid w:val="2E7D6426"/>
    <w:rsid w:val="2E9B31F6"/>
    <w:rsid w:val="2EC13FC7"/>
    <w:rsid w:val="2ED87563"/>
    <w:rsid w:val="2EEF3E46"/>
    <w:rsid w:val="2EF87CF1"/>
    <w:rsid w:val="2EFF7E86"/>
    <w:rsid w:val="2F117B7C"/>
    <w:rsid w:val="2FB33992"/>
    <w:rsid w:val="30122C9F"/>
    <w:rsid w:val="30192F68"/>
    <w:rsid w:val="30203302"/>
    <w:rsid w:val="30227B31"/>
    <w:rsid w:val="30560DEB"/>
    <w:rsid w:val="30723E03"/>
    <w:rsid w:val="30905F37"/>
    <w:rsid w:val="309E73AA"/>
    <w:rsid w:val="30C24060"/>
    <w:rsid w:val="30CC76F2"/>
    <w:rsid w:val="30D03380"/>
    <w:rsid w:val="30EE3E66"/>
    <w:rsid w:val="315B2D9A"/>
    <w:rsid w:val="319168F7"/>
    <w:rsid w:val="31E40892"/>
    <w:rsid w:val="32425F45"/>
    <w:rsid w:val="32536F0B"/>
    <w:rsid w:val="3257279C"/>
    <w:rsid w:val="32782EB5"/>
    <w:rsid w:val="3284071D"/>
    <w:rsid w:val="328C698E"/>
    <w:rsid w:val="32A62664"/>
    <w:rsid w:val="32CB7A81"/>
    <w:rsid w:val="32FE73A9"/>
    <w:rsid w:val="33050CA1"/>
    <w:rsid w:val="333E1B82"/>
    <w:rsid w:val="33510E4C"/>
    <w:rsid w:val="33830936"/>
    <w:rsid w:val="338E17D6"/>
    <w:rsid w:val="33BD00AB"/>
    <w:rsid w:val="33F80A7C"/>
    <w:rsid w:val="34272BFD"/>
    <w:rsid w:val="34374A96"/>
    <w:rsid w:val="343A3A12"/>
    <w:rsid w:val="344E09D0"/>
    <w:rsid w:val="3482784E"/>
    <w:rsid w:val="34940E12"/>
    <w:rsid w:val="34A3647B"/>
    <w:rsid w:val="34C46954"/>
    <w:rsid w:val="34D37DB2"/>
    <w:rsid w:val="34E90214"/>
    <w:rsid w:val="35011698"/>
    <w:rsid w:val="35141047"/>
    <w:rsid w:val="35167E15"/>
    <w:rsid w:val="35180A32"/>
    <w:rsid w:val="3554536F"/>
    <w:rsid w:val="357324BD"/>
    <w:rsid w:val="358402AB"/>
    <w:rsid w:val="359567C4"/>
    <w:rsid w:val="35981AAD"/>
    <w:rsid w:val="359E0372"/>
    <w:rsid w:val="35CB282B"/>
    <w:rsid w:val="35D02726"/>
    <w:rsid w:val="35D54C83"/>
    <w:rsid w:val="35DE4B10"/>
    <w:rsid w:val="36096F27"/>
    <w:rsid w:val="362B3D76"/>
    <w:rsid w:val="36A04622"/>
    <w:rsid w:val="36B62FFE"/>
    <w:rsid w:val="36F916B9"/>
    <w:rsid w:val="370F0A84"/>
    <w:rsid w:val="37264F35"/>
    <w:rsid w:val="378E34C8"/>
    <w:rsid w:val="37967679"/>
    <w:rsid w:val="37DE423F"/>
    <w:rsid w:val="37FA3F3A"/>
    <w:rsid w:val="383F42AF"/>
    <w:rsid w:val="384C2DCE"/>
    <w:rsid w:val="386D1686"/>
    <w:rsid w:val="38A86975"/>
    <w:rsid w:val="39140F75"/>
    <w:rsid w:val="391625CC"/>
    <w:rsid w:val="39291E99"/>
    <w:rsid w:val="398032DC"/>
    <w:rsid w:val="39D14550"/>
    <w:rsid w:val="39D40A5E"/>
    <w:rsid w:val="39EE619C"/>
    <w:rsid w:val="3A3D50DF"/>
    <w:rsid w:val="3A487A8F"/>
    <w:rsid w:val="3A5A37F4"/>
    <w:rsid w:val="3A9A0587"/>
    <w:rsid w:val="3ACE770D"/>
    <w:rsid w:val="3ACF184A"/>
    <w:rsid w:val="3ADA4A92"/>
    <w:rsid w:val="3B4C52CF"/>
    <w:rsid w:val="3B4C65C4"/>
    <w:rsid w:val="3BBD77CB"/>
    <w:rsid w:val="3BCB55AD"/>
    <w:rsid w:val="3BDB609B"/>
    <w:rsid w:val="3BEA4FCE"/>
    <w:rsid w:val="3C2705E0"/>
    <w:rsid w:val="3C7F3A1A"/>
    <w:rsid w:val="3CB52021"/>
    <w:rsid w:val="3CBA7913"/>
    <w:rsid w:val="3D123C30"/>
    <w:rsid w:val="3D9E759F"/>
    <w:rsid w:val="3E1031B0"/>
    <w:rsid w:val="3E752A5F"/>
    <w:rsid w:val="3E7C5F11"/>
    <w:rsid w:val="3E861D88"/>
    <w:rsid w:val="3ED8423F"/>
    <w:rsid w:val="3EF410B6"/>
    <w:rsid w:val="3F6B471C"/>
    <w:rsid w:val="3FB13684"/>
    <w:rsid w:val="3FB74C4A"/>
    <w:rsid w:val="3FBD08F4"/>
    <w:rsid w:val="3FC34AB4"/>
    <w:rsid w:val="3FF1461A"/>
    <w:rsid w:val="40806B30"/>
    <w:rsid w:val="409810E7"/>
    <w:rsid w:val="40A35FFF"/>
    <w:rsid w:val="40C413F9"/>
    <w:rsid w:val="410B1592"/>
    <w:rsid w:val="411B04A1"/>
    <w:rsid w:val="412008D4"/>
    <w:rsid w:val="412F7E1B"/>
    <w:rsid w:val="413B2A78"/>
    <w:rsid w:val="41AD6EFD"/>
    <w:rsid w:val="41F37F4D"/>
    <w:rsid w:val="42044F00"/>
    <w:rsid w:val="42160EDB"/>
    <w:rsid w:val="424871C8"/>
    <w:rsid w:val="42507DAD"/>
    <w:rsid w:val="42660EA5"/>
    <w:rsid w:val="42750B3B"/>
    <w:rsid w:val="42893CE4"/>
    <w:rsid w:val="42A04671"/>
    <w:rsid w:val="42B43A1D"/>
    <w:rsid w:val="42D4569E"/>
    <w:rsid w:val="42D947C3"/>
    <w:rsid w:val="42E10BCC"/>
    <w:rsid w:val="42FA49BF"/>
    <w:rsid w:val="432D0101"/>
    <w:rsid w:val="43E63A0D"/>
    <w:rsid w:val="43ED2271"/>
    <w:rsid w:val="44161D74"/>
    <w:rsid w:val="442566BD"/>
    <w:rsid w:val="4438416A"/>
    <w:rsid w:val="443A4B2C"/>
    <w:rsid w:val="44830D6C"/>
    <w:rsid w:val="44B425EB"/>
    <w:rsid w:val="450C1383"/>
    <w:rsid w:val="450D7405"/>
    <w:rsid w:val="45104F29"/>
    <w:rsid w:val="45165FB0"/>
    <w:rsid w:val="452828B5"/>
    <w:rsid w:val="45E6424A"/>
    <w:rsid w:val="45F573D0"/>
    <w:rsid w:val="4623252E"/>
    <w:rsid w:val="466107AF"/>
    <w:rsid w:val="46A62584"/>
    <w:rsid w:val="46A870F6"/>
    <w:rsid w:val="46CF2BD2"/>
    <w:rsid w:val="47092AAE"/>
    <w:rsid w:val="47422D17"/>
    <w:rsid w:val="47757E5B"/>
    <w:rsid w:val="47823A50"/>
    <w:rsid w:val="47D92098"/>
    <w:rsid w:val="47FB08BD"/>
    <w:rsid w:val="48097CC8"/>
    <w:rsid w:val="48465BDE"/>
    <w:rsid w:val="48657C65"/>
    <w:rsid w:val="48836F69"/>
    <w:rsid w:val="489709C9"/>
    <w:rsid w:val="48D3084E"/>
    <w:rsid w:val="49072A6A"/>
    <w:rsid w:val="491A6A0E"/>
    <w:rsid w:val="49216F89"/>
    <w:rsid w:val="49350317"/>
    <w:rsid w:val="493A4AA6"/>
    <w:rsid w:val="49695898"/>
    <w:rsid w:val="49B11E42"/>
    <w:rsid w:val="49E056FA"/>
    <w:rsid w:val="4A1960C1"/>
    <w:rsid w:val="4A88676A"/>
    <w:rsid w:val="4A912B8E"/>
    <w:rsid w:val="4A916B3F"/>
    <w:rsid w:val="4A98729A"/>
    <w:rsid w:val="4AC7560F"/>
    <w:rsid w:val="4ACE7722"/>
    <w:rsid w:val="4B040003"/>
    <w:rsid w:val="4B1568F7"/>
    <w:rsid w:val="4B735132"/>
    <w:rsid w:val="4B933FB5"/>
    <w:rsid w:val="4BA14B89"/>
    <w:rsid w:val="4BA1708C"/>
    <w:rsid w:val="4BAE02E9"/>
    <w:rsid w:val="4BCA79AB"/>
    <w:rsid w:val="4BE16EAE"/>
    <w:rsid w:val="4BFC3517"/>
    <w:rsid w:val="4C297A85"/>
    <w:rsid w:val="4C365A46"/>
    <w:rsid w:val="4C5045BB"/>
    <w:rsid w:val="4C965146"/>
    <w:rsid w:val="4C9E6485"/>
    <w:rsid w:val="4CEE62B7"/>
    <w:rsid w:val="4D516DC4"/>
    <w:rsid w:val="4D66718D"/>
    <w:rsid w:val="4D894399"/>
    <w:rsid w:val="4D8A19DE"/>
    <w:rsid w:val="4D900FCC"/>
    <w:rsid w:val="4DB123D8"/>
    <w:rsid w:val="4DB95690"/>
    <w:rsid w:val="4DC24B0B"/>
    <w:rsid w:val="4DF01BD0"/>
    <w:rsid w:val="4DFD54D3"/>
    <w:rsid w:val="4E146A2D"/>
    <w:rsid w:val="4E1C6F83"/>
    <w:rsid w:val="4E274D75"/>
    <w:rsid w:val="4E3E3682"/>
    <w:rsid w:val="4E4753D5"/>
    <w:rsid w:val="4EB023C9"/>
    <w:rsid w:val="4ECD039A"/>
    <w:rsid w:val="4EDC7405"/>
    <w:rsid w:val="4F3C271A"/>
    <w:rsid w:val="4F7675FF"/>
    <w:rsid w:val="4F7A7F04"/>
    <w:rsid w:val="4F913248"/>
    <w:rsid w:val="4FB52F70"/>
    <w:rsid w:val="4FBA6EC8"/>
    <w:rsid w:val="4FF93C17"/>
    <w:rsid w:val="506A00F5"/>
    <w:rsid w:val="506C02B1"/>
    <w:rsid w:val="506D6C28"/>
    <w:rsid w:val="508F4E8C"/>
    <w:rsid w:val="509D0C9B"/>
    <w:rsid w:val="50B52859"/>
    <w:rsid w:val="50CB4E27"/>
    <w:rsid w:val="50D728A4"/>
    <w:rsid w:val="50E86013"/>
    <w:rsid w:val="5133165F"/>
    <w:rsid w:val="513874FA"/>
    <w:rsid w:val="51B82B30"/>
    <w:rsid w:val="51CB14D4"/>
    <w:rsid w:val="51E464F5"/>
    <w:rsid w:val="52222767"/>
    <w:rsid w:val="52881251"/>
    <w:rsid w:val="528D09F0"/>
    <w:rsid w:val="52912EF4"/>
    <w:rsid w:val="532D0AA6"/>
    <w:rsid w:val="535149E3"/>
    <w:rsid w:val="53575C78"/>
    <w:rsid w:val="53617A39"/>
    <w:rsid w:val="53675552"/>
    <w:rsid w:val="537816A2"/>
    <w:rsid w:val="537E33C4"/>
    <w:rsid w:val="53E2002C"/>
    <w:rsid w:val="544B3606"/>
    <w:rsid w:val="548E36FB"/>
    <w:rsid w:val="549D4A24"/>
    <w:rsid w:val="54B457E5"/>
    <w:rsid w:val="54F10CE9"/>
    <w:rsid w:val="556E0623"/>
    <w:rsid w:val="558E0355"/>
    <w:rsid w:val="55D627FF"/>
    <w:rsid w:val="55E324E4"/>
    <w:rsid w:val="55FE73C6"/>
    <w:rsid w:val="560E34D4"/>
    <w:rsid w:val="56433752"/>
    <w:rsid w:val="567F3515"/>
    <w:rsid w:val="56805092"/>
    <w:rsid w:val="56981D68"/>
    <w:rsid w:val="569A309B"/>
    <w:rsid w:val="569B5AFA"/>
    <w:rsid w:val="56AB1B4D"/>
    <w:rsid w:val="56D72E03"/>
    <w:rsid w:val="56F22650"/>
    <w:rsid w:val="56F71733"/>
    <w:rsid w:val="570B7366"/>
    <w:rsid w:val="573C6972"/>
    <w:rsid w:val="57511DCF"/>
    <w:rsid w:val="57660826"/>
    <w:rsid w:val="57A713C5"/>
    <w:rsid w:val="57BE52EA"/>
    <w:rsid w:val="57FA16D1"/>
    <w:rsid w:val="58346E83"/>
    <w:rsid w:val="58630573"/>
    <w:rsid w:val="586A4293"/>
    <w:rsid w:val="58A55CAF"/>
    <w:rsid w:val="58AD568B"/>
    <w:rsid w:val="58C02EA9"/>
    <w:rsid w:val="58C954F7"/>
    <w:rsid w:val="58D613DE"/>
    <w:rsid w:val="58E871E0"/>
    <w:rsid w:val="58F14725"/>
    <w:rsid w:val="58F858AA"/>
    <w:rsid w:val="59194463"/>
    <w:rsid w:val="593E6F66"/>
    <w:rsid w:val="59741536"/>
    <w:rsid w:val="5987761F"/>
    <w:rsid w:val="59C62C89"/>
    <w:rsid w:val="59E13AB0"/>
    <w:rsid w:val="5A371879"/>
    <w:rsid w:val="5A4126B6"/>
    <w:rsid w:val="5A6E3AB3"/>
    <w:rsid w:val="5AB52EAB"/>
    <w:rsid w:val="5B0608A4"/>
    <w:rsid w:val="5B5F18DD"/>
    <w:rsid w:val="5B657684"/>
    <w:rsid w:val="5B90527F"/>
    <w:rsid w:val="5B953D5C"/>
    <w:rsid w:val="5BBE2AD5"/>
    <w:rsid w:val="5BE717E9"/>
    <w:rsid w:val="5BF3281A"/>
    <w:rsid w:val="5C06741E"/>
    <w:rsid w:val="5C166AC8"/>
    <w:rsid w:val="5C407B49"/>
    <w:rsid w:val="5C763CE1"/>
    <w:rsid w:val="5C766C4A"/>
    <w:rsid w:val="5CD32045"/>
    <w:rsid w:val="5CDC5626"/>
    <w:rsid w:val="5CF57A9E"/>
    <w:rsid w:val="5D397258"/>
    <w:rsid w:val="5D3B699C"/>
    <w:rsid w:val="5D501017"/>
    <w:rsid w:val="5D7D1ED8"/>
    <w:rsid w:val="5D9D15FE"/>
    <w:rsid w:val="5DD47A98"/>
    <w:rsid w:val="5E170E1C"/>
    <w:rsid w:val="5E315456"/>
    <w:rsid w:val="5E413F2E"/>
    <w:rsid w:val="5E572B66"/>
    <w:rsid w:val="5EC72F7B"/>
    <w:rsid w:val="5ECD1C76"/>
    <w:rsid w:val="5EFC575E"/>
    <w:rsid w:val="5F4231EF"/>
    <w:rsid w:val="5F54370A"/>
    <w:rsid w:val="5F577A05"/>
    <w:rsid w:val="5F682518"/>
    <w:rsid w:val="5F7A3598"/>
    <w:rsid w:val="5F811E92"/>
    <w:rsid w:val="5FE34BFA"/>
    <w:rsid w:val="5FE9192F"/>
    <w:rsid w:val="5FEF59F1"/>
    <w:rsid w:val="6034476A"/>
    <w:rsid w:val="604B398D"/>
    <w:rsid w:val="60B32BC0"/>
    <w:rsid w:val="60C064D3"/>
    <w:rsid w:val="60D461F5"/>
    <w:rsid w:val="613B3C82"/>
    <w:rsid w:val="615507A0"/>
    <w:rsid w:val="615722E3"/>
    <w:rsid w:val="61AA05E3"/>
    <w:rsid w:val="621020F3"/>
    <w:rsid w:val="624C487C"/>
    <w:rsid w:val="62B34E2E"/>
    <w:rsid w:val="62B95518"/>
    <w:rsid w:val="62F00414"/>
    <w:rsid w:val="62F37BF4"/>
    <w:rsid w:val="635D52DB"/>
    <w:rsid w:val="63B314DF"/>
    <w:rsid w:val="63FF4A8E"/>
    <w:rsid w:val="640B1344"/>
    <w:rsid w:val="640B1F89"/>
    <w:rsid w:val="64373432"/>
    <w:rsid w:val="645430D9"/>
    <w:rsid w:val="646B3D6E"/>
    <w:rsid w:val="64786062"/>
    <w:rsid w:val="64BB142D"/>
    <w:rsid w:val="64C913C0"/>
    <w:rsid w:val="64E75F6D"/>
    <w:rsid w:val="654319AF"/>
    <w:rsid w:val="658E5396"/>
    <w:rsid w:val="65F82EA1"/>
    <w:rsid w:val="662404B6"/>
    <w:rsid w:val="663F1CA8"/>
    <w:rsid w:val="664A21F5"/>
    <w:rsid w:val="665174CE"/>
    <w:rsid w:val="6664588F"/>
    <w:rsid w:val="66775D88"/>
    <w:rsid w:val="668A4BDB"/>
    <w:rsid w:val="66B62E62"/>
    <w:rsid w:val="66B768D8"/>
    <w:rsid w:val="66B85C0F"/>
    <w:rsid w:val="66BB0BDC"/>
    <w:rsid w:val="66C829A4"/>
    <w:rsid w:val="66EC020C"/>
    <w:rsid w:val="66F64244"/>
    <w:rsid w:val="67391535"/>
    <w:rsid w:val="676E5820"/>
    <w:rsid w:val="67710C22"/>
    <w:rsid w:val="67C11B8E"/>
    <w:rsid w:val="67D20A8E"/>
    <w:rsid w:val="68026DDA"/>
    <w:rsid w:val="680F6C9C"/>
    <w:rsid w:val="68416C4D"/>
    <w:rsid w:val="6855099E"/>
    <w:rsid w:val="6891110F"/>
    <w:rsid w:val="68DD19AC"/>
    <w:rsid w:val="68EF2641"/>
    <w:rsid w:val="68F45734"/>
    <w:rsid w:val="68F94975"/>
    <w:rsid w:val="691D1768"/>
    <w:rsid w:val="692D3A23"/>
    <w:rsid w:val="693A4AE6"/>
    <w:rsid w:val="6946264D"/>
    <w:rsid w:val="695C2B7F"/>
    <w:rsid w:val="698D2330"/>
    <w:rsid w:val="69996A13"/>
    <w:rsid w:val="69AE15E7"/>
    <w:rsid w:val="69D36BF1"/>
    <w:rsid w:val="69EE658B"/>
    <w:rsid w:val="69FA150A"/>
    <w:rsid w:val="6A383C24"/>
    <w:rsid w:val="6AAA7465"/>
    <w:rsid w:val="6B2E04EF"/>
    <w:rsid w:val="6B81035E"/>
    <w:rsid w:val="6BB22514"/>
    <w:rsid w:val="6BC102FF"/>
    <w:rsid w:val="6BC361B5"/>
    <w:rsid w:val="6BDD7C3D"/>
    <w:rsid w:val="6C3B3E30"/>
    <w:rsid w:val="6CE931A8"/>
    <w:rsid w:val="6D024FA3"/>
    <w:rsid w:val="6D114D78"/>
    <w:rsid w:val="6D2E3F2F"/>
    <w:rsid w:val="6D4C705F"/>
    <w:rsid w:val="6D594031"/>
    <w:rsid w:val="6DB7158A"/>
    <w:rsid w:val="6DBE706B"/>
    <w:rsid w:val="6DCA4F8F"/>
    <w:rsid w:val="6DE7762B"/>
    <w:rsid w:val="6DFF0DB9"/>
    <w:rsid w:val="6E0D6231"/>
    <w:rsid w:val="6E470773"/>
    <w:rsid w:val="6E590AB8"/>
    <w:rsid w:val="6E737B96"/>
    <w:rsid w:val="6E8D11F9"/>
    <w:rsid w:val="6E9505C7"/>
    <w:rsid w:val="6EB01C9D"/>
    <w:rsid w:val="6ED773B1"/>
    <w:rsid w:val="6F3B5685"/>
    <w:rsid w:val="6F72645F"/>
    <w:rsid w:val="700556DA"/>
    <w:rsid w:val="700735C1"/>
    <w:rsid w:val="700D0840"/>
    <w:rsid w:val="70C723DC"/>
    <w:rsid w:val="70D14465"/>
    <w:rsid w:val="71504343"/>
    <w:rsid w:val="71D12F01"/>
    <w:rsid w:val="71DB63BE"/>
    <w:rsid w:val="71E54EEE"/>
    <w:rsid w:val="722F297B"/>
    <w:rsid w:val="727E7F67"/>
    <w:rsid w:val="728C3B4B"/>
    <w:rsid w:val="731F187D"/>
    <w:rsid w:val="734F10F0"/>
    <w:rsid w:val="73770109"/>
    <w:rsid w:val="73BA09E1"/>
    <w:rsid w:val="73C734DE"/>
    <w:rsid w:val="73DC575A"/>
    <w:rsid w:val="73E76A24"/>
    <w:rsid w:val="74225F62"/>
    <w:rsid w:val="744F55F9"/>
    <w:rsid w:val="747674F2"/>
    <w:rsid w:val="748E1E66"/>
    <w:rsid w:val="75175F0D"/>
    <w:rsid w:val="7525537B"/>
    <w:rsid w:val="752D4B3A"/>
    <w:rsid w:val="756209CE"/>
    <w:rsid w:val="757F6DE2"/>
    <w:rsid w:val="760102EA"/>
    <w:rsid w:val="76264F11"/>
    <w:rsid w:val="76305CC2"/>
    <w:rsid w:val="763D62CA"/>
    <w:rsid w:val="763F4F1D"/>
    <w:rsid w:val="764D3861"/>
    <w:rsid w:val="76524C31"/>
    <w:rsid w:val="765A641A"/>
    <w:rsid w:val="76793320"/>
    <w:rsid w:val="767E608D"/>
    <w:rsid w:val="7684373C"/>
    <w:rsid w:val="768761A2"/>
    <w:rsid w:val="76C52D62"/>
    <w:rsid w:val="76EB4324"/>
    <w:rsid w:val="76F203FC"/>
    <w:rsid w:val="771D5351"/>
    <w:rsid w:val="77311F92"/>
    <w:rsid w:val="77453705"/>
    <w:rsid w:val="77720CF0"/>
    <w:rsid w:val="777869D1"/>
    <w:rsid w:val="77A26BF1"/>
    <w:rsid w:val="77BA518F"/>
    <w:rsid w:val="77BB4F79"/>
    <w:rsid w:val="781E10C9"/>
    <w:rsid w:val="78214288"/>
    <w:rsid w:val="785964E4"/>
    <w:rsid w:val="78771A52"/>
    <w:rsid w:val="78D2280F"/>
    <w:rsid w:val="78D25085"/>
    <w:rsid w:val="791D7CF2"/>
    <w:rsid w:val="792148B1"/>
    <w:rsid w:val="79352B64"/>
    <w:rsid w:val="79473300"/>
    <w:rsid w:val="7959199E"/>
    <w:rsid w:val="79633F17"/>
    <w:rsid w:val="79CA09B0"/>
    <w:rsid w:val="79D03DA2"/>
    <w:rsid w:val="79F36062"/>
    <w:rsid w:val="79FD3E8A"/>
    <w:rsid w:val="7A0563BA"/>
    <w:rsid w:val="7A260344"/>
    <w:rsid w:val="7A403AE8"/>
    <w:rsid w:val="7A481DD3"/>
    <w:rsid w:val="7A565BB2"/>
    <w:rsid w:val="7A582F7A"/>
    <w:rsid w:val="7A874C31"/>
    <w:rsid w:val="7ACC24AB"/>
    <w:rsid w:val="7AE6075D"/>
    <w:rsid w:val="7B7269CD"/>
    <w:rsid w:val="7BB66EFF"/>
    <w:rsid w:val="7BBA4EA9"/>
    <w:rsid w:val="7BCF6916"/>
    <w:rsid w:val="7BF1730F"/>
    <w:rsid w:val="7BF844E8"/>
    <w:rsid w:val="7BF9211A"/>
    <w:rsid w:val="7C077139"/>
    <w:rsid w:val="7C1C61C6"/>
    <w:rsid w:val="7CAD018E"/>
    <w:rsid w:val="7D157361"/>
    <w:rsid w:val="7D4A732D"/>
    <w:rsid w:val="7D633546"/>
    <w:rsid w:val="7DB93F63"/>
    <w:rsid w:val="7DBD5EEB"/>
    <w:rsid w:val="7DE91632"/>
    <w:rsid w:val="7E4A2BD0"/>
    <w:rsid w:val="7E5C3ABD"/>
    <w:rsid w:val="7E6E1F3C"/>
    <w:rsid w:val="7E811F86"/>
    <w:rsid w:val="7E963CAB"/>
    <w:rsid w:val="7EAD1996"/>
    <w:rsid w:val="7EB939C5"/>
    <w:rsid w:val="7EC05525"/>
    <w:rsid w:val="7EEE74BB"/>
    <w:rsid w:val="7F1A79B4"/>
    <w:rsid w:val="7F1D7E5A"/>
    <w:rsid w:val="7F3B107B"/>
    <w:rsid w:val="7F597D38"/>
    <w:rsid w:val="7F854E87"/>
    <w:rsid w:val="7FB47994"/>
    <w:rsid w:val="7FBB5C47"/>
    <w:rsid w:val="7FFC081A"/>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basedOn w:val="1"/>
    <w:next w:val="1"/>
    <w:link w:val="33"/>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2"/>
    <w:next w:val="1"/>
    <w:qFormat/>
    <w:uiPriority w:val="0"/>
    <w:pPr>
      <w:numPr>
        <w:ilvl w:val="1"/>
      </w:numPr>
      <w:spacing w:before="240" w:after="240"/>
      <w:outlineLvl w:val="1"/>
    </w:pPr>
    <w:rPr>
      <w:rFonts w:eastAsia="宋体" w:cs="Arial"/>
      <w:bCs/>
      <w:iCs/>
      <w:sz w:val="28"/>
      <w:szCs w:val="28"/>
    </w:rPr>
  </w:style>
  <w:style w:type="paragraph" w:styleId="4">
    <w:name w:val="heading 3"/>
    <w:basedOn w:val="3"/>
    <w:next w:val="1"/>
    <w:qFormat/>
    <w:uiPriority w:val="0"/>
    <w:pPr>
      <w:numPr>
        <w:ilvl w:val="2"/>
      </w:numPr>
      <w:spacing w:after="60"/>
      <w:outlineLvl w:val="2"/>
    </w:pPr>
    <w:rPr>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5">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0"/>
  </w:style>
  <w:style w:type="paragraph" w:styleId="14">
    <w:name w:val="caption"/>
    <w:basedOn w:val="1"/>
    <w:next w:val="1"/>
    <w:link w:val="59"/>
    <w:qFormat/>
    <w:uiPriority w:val="35"/>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qFormat/>
    <w:uiPriority w:val="0"/>
    <w:pPr>
      <w:overflowPunct/>
      <w:autoSpaceDE/>
      <w:autoSpaceDN/>
      <w:adjustRightInd/>
      <w:textAlignment w:val="auto"/>
    </w:pPr>
    <w:rPr>
      <w:rFonts w:eastAsia="MS Mincho"/>
    </w:rPr>
  </w:style>
  <w:style w:type="paragraph" w:styleId="17">
    <w:name w:val="Body Text Indent"/>
    <w:basedOn w:val="1"/>
    <w:qFormat/>
    <w:uiPriority w:val="0"/>
    <w:pPr>
      <w:spacing w:after="120"/>
      <w:ind w:left="283"/>
    </w:pPr>
  </w:style>
  <w:style w:type="paragraph" w:styleId="18">
    <w:name w:val="List 2"/>
    <w:basedOn w:val="1"/>
    <w:qFormat/>
    <w:uiPriority w:val="0"/>
    <w:pPr>
      <w:ind w:left="851"/>
    </w:pPr>
    <w:rPr>
      <w:lang w:eastAsia="ja-JP"/>
    </w:rPr>
  </w:style>
  <w:style w:type="paragraph" w:styleId="19">
    <w:name w:val="Balloon Text"/>
    <w:basedOn w:val="1"/>
    <w:link w:val="38"/>
    <w:unhideWhenUsed/>
    <w:qFormat/>
    <w:uiPriority w:val="99"/>
    <w:pPr>
      <w:spacing w:after="0"/>
    </w:pPr>
    <w:rPr>
      <w:rFonts w:ascii="Tahoma" w:hAnsi="Tahoma" w:cs="Tahoma"/>
      <w:sz w:val="16"/>
      <w:szCs w:val="16"/>
    </w:rPr>
  </w:style>
  <w:style w:type="paragraph" w:styleId="20">
    <w:name w:val="footer"/>
    <w:basedOn w:val="1"/>
    <w:link w:val="40"/>
    <w:unhideWhenUsed/>
    <w:qFormat/>
    <w:uiPriority w:val="99"/>
    <w:pPr>
      <w:tabs>
        <w:tab w:val="center" w:pos="4513"/>
        <w:tab w:val="right" w:pos="9026"/>
      </w:tabs>
      <w:snapToGrid w:val="0"/>
    </w:pPr>
  </w:style>
  <w:style w:type="paragraph" w:styleId="21">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3">
    <w:name w:val="List"/>
    <w:basedOn w:val="1"/>
    <w:qFormat/>
    <w:uiPriority w:val="0"/>
    <w:pPr>
      <w:ind w:left="283" w:hanging="283"/>
    </w:pPr>
  </w:style>
  <w:style w:type="paragraph" w:styleId="24">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6">
    <w:name w:val="page number"/>
    <w:basedOn w:val="25"/>
    <w:unhideWhenUsed/>
    <w:qFormat/>
    <w:uiPriority w:val="99"/>
  </w:style>
  <w:style w:type="character" w:styleId="27">
    <w:name w:val="FollowedHyperlink"/>
    <w:basedOn w:val="25"/>
    <w:qFormat/>
    <w:uiPriority w:val="0"/>
    <w:rPr>
      <w:color w:val="800080"/>
      <w:u w:val="single"/>
    </w:rPr>
  </w:style>
  <w:style w:type="character" w:styleId="28">
    <w:name w:val="Hyperlink"/>
    <w:basedOn w:val="25"/>
    <w:unhideWhenUsed/>
    <w:qFormat/>
    <w:uiPriority w:val="99"/>
    <w:rPr>
      <w:color w:val="0000FF"/>
      <w:u w:val="single"/>
    </w:rPr>
  </w:style>
  <w:style w:type="character" w:styleId="29">
    <w:name w:val="annotation reference"/>
    <w:basedOn w:val="25"/>
    <w:unhideWhenUsed/>
    <w:qFormat/>
    <w:uiPriority w:val="0"/>
    <w:rPr>
      <w:sz w:val="16"/>
      <w:szCs w:val="16"/>
    </w:rPr>
  </w:style>
  <w:style w:type="character" w:styleId="30">
    <w:name w:val="footnote reference"/>
    <w:basedOn w:val="25"/>
    <w:semiHidden/>
    <w:qFormat/>
    <w:uiPriority w:val="0"/>
    <w:rPr>
      <w:rFonts w:eastAsia="Times New Roman"/>
      <w:b/>
      <w:kern w:val="2"/>
      <w:position w:val="6"/>
      <w:sz w:val="16"/>
      <w:lang w:val="en-GB"/>
    </w:rPr>
  </w:style>
  <w:style w:type="table" w:styleId="32">
    <w:name w:val="Table Grid"/>
    <w:basedOn w:val="31"/>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Heading 1 Char"/>
    <w:basedOn w:val="25"/>
    <w:link w:val="2"/>
    <w:qFormat/>
    <w:uiPriority w:val="0"/>
    <w:rPr>
      <w:rFonts w:ascii="Arial" w:hAnsi="Arial"/>
      <w:b/>
      <w:sz w:val="32"/>
      <w:szCs w:val="32"/>
    </w:rPr>
  </w:style>
  <w:style w:type="character" w:customStyle="1" w:styleId="34">
    <w:name w:val="Header Char"/>
    <w:basedOn w:val="25"/>
    <w:link w:val="21"/>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5"/>
    <w:link w:val="13"/>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12"/>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5"/>
    <w:link w:val="19"/>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5"/>
    <w:link w:val="20"/>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5"/>
    <w:link w:val="41"/>
    <w:qFormat/>
    <w:uiPriority w:val="0"/>
    <w:rPr>
      <w:rFonts w:ascii="Arial" w:hAnsi="Arial" w:eastAsia="MS Mincho"/>
      <w:szCs w:val="24"/>
      <w:lang w:val="en-GB" w:eastAsia="en-GB" w:bidi="ar-SA"/>
    </w:rPr>
  </w:style>
  <w:style w:type="paragraph" w:customStyle="1" w:styleId="43">
    <w:name w:val="B1"/>
    <w:basedOn w:val="23"/>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5"/>
    <w:link w:val="43"/>
    <w:qFormat/>
    <w:uiPriority w:val="0"/>
    <w:rPr>
      <w:rFonts w:eastAsia="MS Mincho"/>
      <w:lang w:val="en-GB" w:eastAsia="en-US" w:bidi="ar-SA"/>
    </w:rPr>
  </w:style>
  <w:style w:type="paragraph" w:customStyle="1" w:styleId="45">
    <w:name w:val="Style Numbered (Latin) Bold Before:  0 cm Hanging:  063 cm"/>
    <w:next w:val="23"/>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5"/>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8"/>
    <w:link w:val="60"/>
    <w:qFormat/>
    <w:uiPriority w:val="0"/>
    <w:pPr>
      <w:overflowPunct/>
      <w:autoSpaceDE/>
      <w:autoSpaceDN/>
      <w:adjustRightInd/>
      <w:ind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5"/>
    <w:link w:val="51"/>
    <w:qFormat/>
    <w:uiPriority w:val="0"/>
    <w:rPr>
      <w:rFonts w:ascii="Arial" w:hAnsi="Arial"/>
      <w:sz w:val="18"/>
      <w:lang w:val="en-GB" w:eastAsia="ja-JP" w:bidi="ar-SA"/>
    </w:rPr>
  </w:style>
  <w:style w:type="paragraph" w:customStyle="1" w:styleId="53">
    <w:name w:val="TAH"/>
    <w:basedOn w:val="54"/>
    <w:link w:val="55"/>
    <w:qFormat/>
    <w:uiPriority w:val="0"/>
    <w:rPr>
      <w:b/>
    </w:rPr>
  </w:style>
  <w:style w:type="paragraph" w:customStyle="1" w:styleId="54">
    <w:name w:val="TAC"/>
    <w:basedOn w:val="51"/>
    <w:link w:val="74"/>
    <w:qFormat/>
    <w:uiPriority w:val="0"/>
    <w:pPr>
      <w:jc w:val="center"/>
    </w:pPr>
  </w:style>
  <w:style w:type="character" w:customStyle="1" w:styleId="55">
    <w:name w:val="TAH Char"/>
    <w:basedOn w:val="25"/>
    <w:link w:val="53"/>
    <w:qFormat/>
    <w:uiPriority w:val="0"/>
    <w:rPr>
      <w:rFonts w:ascii="Arial" w:hAnsi="Arial"/>
      <w:b/>
      <w:sz w:val="18"/>
      <w:lang w:val="en-GB" w:eastAsia="ja-JP" w:bidi="ar-SA"/>
    </w:rPr>
  </w:style>
  <w:style w:type="character" w:customStyle="1" w:styleId="56">
    <w:name w:val="msoins"/>
    <w:basedOn w:val="25"/>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5"/>
    <w:link w:val="57"/>
    <w:qFormat/>
    <w:uiPriority w:val="0"/>
    <w:rPr>
      <w:rFonts w:ascii="Arial" w:hAnsi="Arial"/>
      <w:lang w:val="en-US" w:eastAsia="en-US" w:bidi="ar-SA"/>
    </w:rPr>
  </w:style>
  <w:style w:type="character" w:customStyle="1" w:styleId="59">
    <w:name w:val="Caption Char"/>
    <w:basedOn w:val="25"/>
    <w:link w:val="14"/>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5"/>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5"/>
    <w:qFormat/>
    <w:uiPriority w:val="0"/>
    <w:rPr>
      <w:lang w:val="en-GB" w:eastAsia="en-US" w:bidi="ar-SA"/>
    </w:rPr>
  </w:style>
  <w:style w:type="character" w:customStyle="1" w:styleId="70">
    <w:name w:val="B1 Char"/>
    <w:basedOn w:val="25"/>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5"/>
    <w:link w:val="71"/>
    <w:qFormat/>
    <w:uiPriority w:val="0"/>
    <w:rPr>
      <w:rFonts w:ascii="Courier New" w:hAnsi="Courier New" w:eastAsia="宋体"/>
      <w:sz w:val="16"/>
      <w:lang w:val="en-GB" w:eastAsia="ja-JP" w:bidi="ar-SA"/>
    </w:rPr>
  </w:style>
  <w:style w:type="character" w:customStyle="1" w:styleId="73">
    <w:name w:val="Heading 4 Char"/>
    <w:basedOn w:val="25"/>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5"/>
    <w:semiHidden/>
    <w:qFormat/>
    <w:uiPriority w:val="99"/>
    <w:rPr>
      <w:color w:val="808080"/>
    </w:rPr>
  </w:style>
  <w:style w:type="character" w:customStyle="1" w:styleId="79">
    <w:name w:val="Heading 8 Char"/>
    <w:basedOn w:val="25"/>
    <w:link w:val="9"/>
    <w:qFormat/>
    <w:uiPriority w:val="0"/>
    <w:rPr>
      <w:rFonts w:ascii="Arial" w:hAnsi="Arial" w:eastAsia="宋体"/>
      <w:kern w:val="2"/>
      <w:sz w:val="21"/>
      <w:szCs w:val="24"/>
    </w:rPr>
  </w:style>
  <w:style w:type="character" w:customStyle="1" w:styleId="80">
    <w:name w:val="Heading 9 Char"/>
    <w:basedOn w:val="25"/>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5"/>
    <w:qFormat/>
    <w:uiPriority w:val="0"/>
    <w:rPr>
      <w:rFonts w:eastAsia="Times New Roman"/>
    </w:rPr>
  </w:style>
  <w:style w:type="character" w:customStyle="1" w:styleId="86">
    <w:name w:val="MTEquationSection"/>
    <w:basedOn w:val="25"/>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5"/>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5"/>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5"/>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3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5"/>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20">
    <w:name w:val="Placeholder Text"/>
    <w:basedOn w:val="25"/>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character" w:customStyle="1" w:styleId="122">
    <w:name w:val="_Style 4"/>
    <w:qFormat/>
    <w:uiPriority w:val="21"/>
    <w:rPr>
      <w:b/>
      <w:bCs/>
      <w:i/>
      <w:iCs/>
      <w:color w:val="4F81BD"/>
    </w:rPr>
  </w:style>
  <w:style w:type="paragraph" w:customStyle="1" w:styleId="123">
    <w:name w:val="TAN"/>
    <w:basedOn w:val="51"/>
    <w:qFormat/>
    <w:uiPriority w:val="0"/>
    <w:pPr>
      <w:ind w:left="851" w:hanging="851"/>
    </w:pPr>
  </w:style>
  <w:style w:type="paragraph" w:customStyle="1" w:styleId="124">
    <w:name w:val="3GPP Agreements"/>
    <w:basedOn w:val="1"/>
    <w:qFormat/>
    <w:uiPriority w:val="0"/>
    <w:pPr>
      <w:numPr>
        <w:ilvl w:val="0"/>
        <w:numId w:val="7"/>
      </w:numPr>
      <w:spacing w:before="60" w:after="60"/>
    </w:pPr>
    <w:rPr>
      <w:rFonts w:eastAsia="宋体"/>
      <w:lang w:val="en-US" w:eastAsia="zh-CN"/>
    </w:rPr>
  </w:style>
  <w:style w:type="character" w:customStyle="1" w:styleId="125">
    <w:name w:val="_Style 3"/>
    <w:qFormat/>
    <w:uiPriority w:val="21"/>
    <w:rPr>
      <w:b/>
      <w:bCs/>
      <w:i/>
      <w:iCs/>
      <w:color w:val="4F81BD"/>
    </w:rPr>
  </w:style>
  <w:style w:type="paragraph" w:customStyle="1" w:styleId="126">
    <w:name w:val="No Spacing1"/>
    <w:qFormat/>
    <w:uiPriority w:val="1"/>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C511E-3D67-417A-9225-7FB2FF8C1F9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1969</Words>
  <Characters>11226</Characters>
  <Lines>93</Lines>
  <Paragraphs>26</Paragraphs>
  <TotalTime>169</TotalTime>
  <ScaleCrop>false</ScaleCrop>
  <LinksUpToDate>false</LinksUpToDate>
  <CharactersWithSpaces>13169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2011-10-28T05:16:00Z</cp:lastPrinted>
  <dcterms:modified xsi:type="dcterms:W3CDTF">2019-05-03T02:06:05Z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